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89" w:rsidRDefault="00BD4A49" w:rsidP="00846589">
      <w:r>
        <w:rPr>
          <w:b/>
        </w:rPr>
        <w:t>DATIM Release 1.20g</w:t>
      </w:r>
      <w:r w:rsidR="00846589">
        <w:rPr>
          <w:b/>
        </w:rPr>
        <w:t xml:space="preserve"> </w:t>
      </w:r>
      <w:r w:rsidR="00846589" w:rsidRPr="005E2861">
        <w:t xml:space="preserve">was deployed </w:t>
      </w:r>
      <w:r>
        <w:t>as a</w:t>
      </w:r>
      <w:r w:rsidR="00440FE2">
        <w:t xml:space="preserve"> maintenance release </w:t>
      </w:r>
      <w:r w:rsidR="00846589">
        <w:t>on</w:t>
      </w:r>
      <w:r w:rsidR="00846589" w:rsidRPr="005E2861">
        <w:t xml:space="preserve"> </w:t>
      </w:r>
      <w:r w:rsidR="00440FE2">
        <w:t>February</w:t>
      </w:r>
      <w:r w:rsidR="00846589">
        <w:t xml:space="preserve"> </w:t>
      </w:r>
      <w:r>
        <w:t>21</w:t>
      </w:r>
      <w:r w:rsidRPr="00BD4A49">
        <w:rPr>
          <w:vertAlign w:val="superscript"/>
        </w:rPr>
        <w:t>st</w:t>
      </w:r>
      <w:r w:rsidR="00846589" w:rsidRPr="005E2861">
        <w:t>, 201</w:t>
      </w:r>
      <w:r w:rsidR="00440FE2">
        <w:t>7</w:t>
      </w:r>
      <w:r w:rsidR="00846589" w:rsidRPr="005E2861">
        <w:t xml:space="preserve">.  </w:t>
      </w:r>
    </w:p>
    <w:p w:rsidR="00846589" w:rsidRDefault="00440FE2" w:rsidP="00846589">
      <w:r>
        <w:t xml:space="preserve">DATIM v1.20c </w:t>
      </w:r>
      <w:r w:rsidR="00BD4A49">
        <w:t>resolves several issues that were found in DATIM and includes an additional update to improve security</w:t>
      </w:r>
      <w:r>
        <w:t>.</w:t>
      </w:r>
    </w:p>
    <w:p w:rsidR="00846589" w:rsidRPr="0065607B" w:rsidRDefault="00846589" w:rsidP="00846589">
      <w:p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Resolved Defects</w:t>
      </w:r>
      <w:r w:rsidRPr="0065607B">
        <w:rPr>
          <w:rFonts w:eastAsia="Times New Roman" w:cs="Arial"/>
          <w:b/>
        </w:rPr>
        <w:t xml:space="preserve">: </w:t>
      </w:r>
    </w:p>
    <w:p w:rsidR="00846589" w:rsidRPr="00846589" w:rsidRDefault="00846589" w:rsidP="0084658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846589" w:rsidRDefault="00BD4A49" w:rsidP="00846589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Issue sending user invitations to </w:t>
      </w:r>
      <w:r w:rsidR="00731AFB">
        <w:rPr>
          <w:rFonts w:eastAsia="Times New Roman" w:cs="Arial"/>
          <w:b/>
        </w:rPr>
        <w:t>certain</w:t>
      </w:r>
      <w:r>
        <w:rPr>
          <w:rFonts w:eastAsia="Times New Roman" w:cs="Arial"/>
          <w:b/>
        </w:rPr>
        <w:t xml:space="preserve"> partners in South Africa</w:t>
      </w:r>
    </w:p>
    <w:p w:rsidR="00846589" w:rsidRDefault="00846589" w:rsidP="00846589">
      <w:pPr>
        <w:pStyle w:val="ListParagraph"/>
        <w:shd w:val="clear" w:color="auto" w:fill="FFFFFF"/>
        <w:spacing w:after="0" w:line="288" w:lineRule="atLeast"/>
        <w:rPr>
          <w:rFonts w:eastAsia="Times New Roman" w:cs="Arial"/>
          <w:b/>
        </w:rPr>
      </w:pPr>
    </w:p>
    <w:p w:rsidR="00B24581" w:rsidRPr="00440FE2" w:rsidRDefault="00BD4A49" w:rsidP="00440FE2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User administrators who were attempting to send user invitations to </w:t>
      </w:r>
      <w:r w:rsidR="00731AFB">
        <w:rPr>
          <w:rFonts w:eastAsia="Times New Roman" w:cs="Arial"/>
        </w:rPr>
        <w:t>certain partners</w:t>
      </w:r>
      <w:bookmarkStart w:id="0" w:name="_GoBack"/>
      <w:bookmarkEnd w:id="0"/>
      <w:r>
        <w:rPr>
          <w:rFonts w:eastAsia="Times New Roman" w:cs="Arial"/>
        </w:rPr>
        <w:t xml:space="preserve"> in South Africa were receiving an error when attempting to add these users. This was a result of the fact that there were multiple instances of this </w:t>
      </w:r>
      <w:proofErr w:type="gramStart"/>
      <w:r>
        <w:rPr>
          <w:rFonts w:eastAsia="Times New Roman" w:cs="Arial"/>
        </w:rPr>
        <w:t>user  group</w:t>
      </w:r>
      <w:proofErr w:type="gramEnd"/>
      <w:r>
        <w:rPr>
          <w:rFonts w:eastAsia="Times New Roman" w:cs="Arial"/>
        </w:rPr>
        <w:t xml:space="preserve"> in the system. The incorrect instances have been deleted, and user admins should no longer experience this issue when inviting users for this partner.</w:t>
      </w:r>
    </w:p>
    <w:p w:rsidR="001D33B4" w:rsidRPr="001D33B4" w:rsidRDefault="001D33B4" w:rsidP="001D33B4">
      <w:pPr>
        <w:shd w:val="clear" w:color="auto" w:fill="FFFFFF"/>
        <w:spacing w:before="120" w:after="0" w:line="288" w:lineRule="atLeast"/>
        <w:rPr>
          <w:rFonts w:eastAsia="Times New Roman" w:cs="Arial"/>
          <w:b/>
        </w:rPr>
      </w:pPr>
    </w:p>
    <w:p w:rsidR="00BD4A49" w:rsidRDefault="00BD4A49" w:rsidP="00BD4A49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Several category options not viewable</w:t>
      </w:r>
    </w:p>
    <w:p w:rsidR="00BD4A49" w:rsidRDefault="00BD4A49" w:rsidP="00BD4A49">
      <w:pPr>
        <w:pStyle w:val="ListParagraph"/>
        <w:shd w:val="clear" w:color="auto" w:fill="FFFFFF"/>
        <w:spacing w:after="0" w:line="288" w:lineRule="atLeast"/>
        <w:rPr>
          <w:rFonts w:eastAsia="Times New Roman" w:cs="Arial"/>
          <w:b/>
        </w:rPr>
      </w:pPr>
    </w:p>
    <w:p w:rsidR="00BD4A49" w:rsidRDefault="00BD4A49" w:rsidP="00BD4A49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  <w:r>
        <w:rPr>
          <w:rFonts w:eastAsia="Times New Roman" w:cs="Arial"/>
        </w:rPr>
        <w:t>Some category options were not viewable to all users, in particular:</w:t>
      </w:r>
    </w:p>
    <w:p w:rsidR="00BD4A49" w:rsidRDefault="00BD4A49" w:rsidP="00BD4A49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25-29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30-49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Community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Construction &amp; renovation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Cured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 xml:space="preserve">Infant Test </w:t>
      </w:r>
      <w:proofErr w:type="spellStart"/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Postive</w:t>
      </w:r>
      <w:proofErr w:type="spellEnd"/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 xml:space="preserve"> within 2 months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Not Evaluated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Training (in-service)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Treatment Completed</w:t>
      </w:r>
    </w:p>
    <w:p w:rsid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Treatment Failed</w:t>
      </w:r>
    </w:p>
    <w:p w:rsid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  <w:r w:rsidRPr="00BD4A49">
        <w:rPr>
          <w:rFonts w:ascii="Consolas" w:eastAsia="Times New Roman" w:hAnsi="Consolas" w:cs="Consolas"/>
          <w:color w:val="333333"/>
          <w:sz w:val="18"/>
          <w:szCs w:val="18"/>
        </w:rPr>
        <w:t>Vehicles</w:t>
      </w:r>
    </w:p>
    <w:p w:rsidR="00BD4A49" w:rsidRPr="00BD4A49" w:rsidRDefault="00BD4A49" w:rsidP="00BD4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Consolas" w:eastAsia="Times New Roman" w:hAnsi="Consolas" w:cs="Consolas"/>
          <w:color w:val="333333"/>
          <w:sz w:val="18"/>
          <w:szCs w:val="18"/>
        </w:rPr>
      </w:pPr>
    </w:p>
    <w:p w:rsidR="00846589" w:rsidRDefault="00BD4A49" w:rsidP="00BD4A49">
      <w:pPr>
        <w:shd w:val="clear" w:color="auto" w:fill="FFFFFF"/>
        <w:spacing w:after="0" w:line="288" w:lineRule="atLeast"/>
        <w:ind w:left="720"/>
        <w:rPr>
          <w:rFonts w:eastAsia="Times New Roman" w:cs="Arial"/>
        </w:rPr>
      </w:pPr>
      <w:r>
        <w:rPr>
          <w:rFonts w:eastAsia="Times New Roman" w:cs="Arial"/>
        </w:rPr>
        <w:t xml:space="preserve">This would result in an error being shown when attempting to import data into DATIM. These permissions have been rectified, and </w:t>
      </w:r>
      <w:r w:rsidR="008745DB">
        <w:rPr>
          <w:rFonts w:eastAsia="Times New Roman" w:cs="Arial"/>
        </w:rPr>
        <w:t xml:space="preserve">this issue should no longer impede </w:t>
      </w:r>
      <w:r>
        <w:rPr>
          <w:rFonts w:eastAsia="Times New Roman" w:cs="Arial"/>
        </w:rPr>
        <w:t>users</w:t>
      </w:r>
      <w:r w:rsidR="008745DB">
        <w:rPr>
          <w:rFonts w:eastAsia="Times New Roman" w:cs="Arial"/>
        </w:rPr>
        <w:t xml:space="preserve"> from importing data</w:t>
      </w:r>
      <w:r>
        <w:rPr>
          <w:rFonts w:eastAsia="Times New Roman" w:cs="Arial"/>
        </w:rPr>
        <w:t>.</w:t>
      </w:r>
    </w:p>
    <w:p w:rsidR="00BD4A49" w:rsidRDefault="00BD4A49" w:rsidP="00BD4A4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BD4A49" w:rsidRPr="0065607B" w:rsidRDefault="00BD4A49" w:rsidP="00BD4A49">
      <w:p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Security Enhancements</w:t>
      </w:r>
      <w:r w:rsidRPr="0065607B">
        <w:rPr>
          <w:rFonts w:eastAsia="Times New Roman" w:cs="Arial"/>
          <w:b/>
        </w:rPr>
        <w:t xml:space="preserve">: </w:t>
      </w:r>
    </w:p>
    <w:p w:rsidR="00BD4A49" w:rsidRDefault="00BD4A49" w:rsidP="00BD4A49">
      <w:pPr>
        <w:shd w:val="clear" w:color="auto" w:fill="FFFFFF"/>
        <w:spacing w:after="0" w:line="288" w:lineRule="atLeast"/>
        <w:rPr>
          <w:rFonts w:eastAsia="Times New Roman" w:cs="Arial"/>
        </w:rPr>
      </w:pPr>
    </w:p>
    <w:p w:rsidR="00BD4A49" w:rsidRDefault="00BD4A49" w:rsidP="00BD4A49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eastAsia="Times New Roman" w:cs="Arial"/>
          <w:b/>
        </w:rPr>
      </w:pPr>
      <w:r>
        <w:rPr>
          <w:rFonts w:eastAsia="Times New Roman" w:cs="Arial"/>
          <w:b/>
        </w:rPr>
        <w:t>User accounts will now deactivate after 95 days without logging in</w:t>
      </w:r>
    </w:p>
    <w:p w:rsidR="00BD4A49" w:rsidRDefault="00BD4A49" w:rsidP="00BD4A49">
      <w:pPr>
        <w:pStyle w:val="ListParagraph"/>
        <w:shd w:val="clear" w:color="auto" w:fill="FFFFFF"/>
        <w:spacing w:after="0" w:line="288" w:lineRule="atLeast"/>
        <w:rPr>
          <w:rFonts w:eastAsia="Times New Roman" w:cs="Arial"/>
          <w:b/>
        </w:rPr>
      </w:pPr>
    </w:p>
    <w:p w:rsidR="00BD4A49" w:rsidRPr="00440FE2" w:rsidRDefault="00BD4A49" w:rsidP="00BD4A49">
      <w:pPr>
        <w:pStyle w:val="ListParagraph"/>
        <w:shd w:val="clear" w:color="auto" w:fill="FFFFFF"/>
        <w:spacing w:before="120" w:after="0" w:line="288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Users who do not log in for a period of 95 days will have their accounts deactivated. </w:t>
      </w:r>
      <w:r w:rsidRPr="008745DB">
        <w:rPr>
          <w:rFonts w:eastAsia="Times New Roman" w:cs="Arial"/>
          <w:u w:val="single"/>
        </w:rPr>
        <w:t>Users who</w:t>
      </w:r>
      <w:r w:rsidR="008745DB">
        <w:rPr>
          <w:rFonts w:eastAsia="Times New Roman" w:cs="Arial"/>
          <w:u w:val="single"/>
        </w:rPr>
        <w:t xml:space="preserve">se accounts become deactivated </w:t>
      </w:r>
      <w:r w:rsidRPr="008745DB">
        <w:rPr>
          <w:rFonts w:eastAsia="Times New Roman" w:cs="Arial"/>
          <w:u w:val="single"/>
        </w:rPr>
        <w:t>should contact their respective user administrators to re-activate their account.</w:t>
      </w:r>
      <w:r>
        <w:rPr>
          <w:rFonts w:eastAsia="Times New Roman" w:cs="Arial"/>
        </w:rPr>
        <w:t xml:space="preserve"> </w:t>
      </w:r>
      <w:r w:rsidR="00A311D1">
        <w:rPr>
          <w:rFonts w:eastAsia="Times New Roman" w:cs="Arial"/>
        </w:rPr>
        <w:t>This deactivation time has been reduced in order to comply with government security requirements.</w:t>
      </w:r>
    </w:p>
    <w:p w:rsidR="00BD4A49" w:rsidRPr="00BD4A49" w:rsidRDefault="00BD4A49" w:rsidP="00BD4A49">
      <w:pPr>
        <w:shd w:val="clear" w:color="auto" w:fill="FFFFFF"/>
        <w:spacing w:after="0" w:line="288" w:lineRule="atLeast"/>
        <w:ind w:left="720"/>
        <w:rPr>
          <w:rFonts w:eastAsia="Times New Roman" w:cs="Arial"/>
        </w:rPr>
      </w:pPr>
    </w:p>
    <w:sectPr w:rsidR="00BD4A49" w:rsidRPr="00BD4A49" w:rsidSect="00C00D93">
      <w:headerReference w:type="default" r:id="rId11"/>
      <w:footerReference w:type="default" r:id="rId12"/>
      <w:pgSz w:w="12240" w:h="15840"/>
      <w:pgMar w:top="720" w:right="720" w:bottom="720" w:left="720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1B" w:rsidRDefault="00BD3F1B" w:rsidP="004108A4">
      <w:pPr>
        <w:spacing w:after="0" w:line="240" w:lineRule="auto"/>
      </w:pPr>
      <w:r>
        <w:separator/>
      </w:r>
    </w:p>
  </w:endnote>
  <w:endnote w:type="continuationSeparator" w:id="0">
    <w:p w:rsidR="00BD3F1B" w:rsidRDefault="00BD3F1B" w:rsidP="0041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88"/>
      <w:gridCol w:w="828"/>
    </w:tblGrid>
    <w:tr w:rsidR="00C00D93" w:rsidRPr="00C00D93" w:rsidTr="000D257D"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:rsidR="00C00D93" w:rsidRPr="00C00D93" w:rsidRDefault="00731AFB">
          <w:pPr>
            <w:pStyle w:val="Footer"/>
            <w:rPr>
              <w:sz w:val="6"/>
              <w:szCs w:val="6"/>
            </w:rPr>
          </w:pPr>
        </w:p>
      </w:tc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:rsidR="00C00D93" w:rsidRPr="00C00D93" w:rsidRDefault="00731AFB">
          <w:pPr>
            <w:pStyle w:val="Footer"/>
            <w:rPr>
              <w:sz w:val="6"/>
              <w:szCs w:val="6"/>
            </w:rPr>
          </w:pPr>
        </w:p>
      </w:tc>
    </w:tr>
  </w:tbl>
  <w:p w:rsidR="00A71C23" w:rsidRDefault="00731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1B" w:rsidRDefault="00BD3F1B" w:rsidP="004108A4">
      <w:pPr>
        <w:spacing w:after="0" w:line="240" w:lineRule="auto"/>
      </w:pPr>
      <w:r>
        <w:separator/>
      </w:r>
    </w:p>
  </w:footnote>
  <w:footnote w:type="continuationSeparator" w:id="0">
    <w:p w:rsidR="00BD3F1B" w:rsidRDefault="00BD3F1B" w:rsidP="0041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23" w:rsidRDefault="0041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398A7" wp14:editId="3C843548">
              <wp:simplePos x="0" y="0"/>
              <wp:positionH relativeFrom="column">
                <wp:posOffset>1733550</wp:posOffset>
              </wp:positionH>
              <wp:positionV relativeFrom="paragraph">
                <wp:posOffset>-219075</wp:posOffset>
              </wp:positionV>
              <wp:extent cx="5184772" cy="3143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2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08A4" w:rsidRPr="004108A4" w:rsidRDefault="00CD4A72">
                          <w:r>
                            <w:rPr>
                              <w:b/>
                            </w:rPr>
                            <w:t xml:space="preserve">DATIM </w:t>
                          </w:r>
                          <w:r w:rsidR="00681E82">
                            <w:rPr>
                              <w:b/>
                            </w:rPr>
                            <w:t xml:space="preserve">Release Notes:  </w:t>
                          </w:r>
                          <w:r w:rsidR="005E1ED9">
                            <w:rPr>
                              <w:b/>
                            </w:rPr>
                            <w:t>1.</w:t>
                          </w:r>
                          <w:r w:rsidR="00BD4A49">
                            <w:rPr>
                              <w:b/>
                            </w:rPr>
                            <w:t>20g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6.5pt;margin-top:-17.25pt;width:408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osfwIAAGYFAAAOAAAAZHJzL2Uyb0RvYy54bWysVN9P2zAQfp+0/8Hy+0hbWmAVKepATJMQ&#10;oMHEs+vYNJrt8+xrk+6v5+wkpWJ7YdpLYt999/l+n1+01rCtCrEGV/Lx0Ygz5SRUtXsu+Y/H609n&#10;nEUUrhIGnCr5TkV+sfj44bzxczWBNZhKBUYkLs4bX/I1op8XRZRrZUU8Aq8cKTUEK5Cu4bmogmiI&#10;3ZpiMhqdFA2EygeQKkaSXnVKvsj8WiuJd1pHhcyUnHzD/A35u0rfYnEu5s9B+HUtezfEP3hhRe3o&#10;0T3VlUDBNqH+g8rWMkAEjUcSbAFa11LlGCia8ehNNA9r4VWOhZIT/T5N8f/RytvtfWB1RbWjSjlh&#10;qUaPqkX2BVpGIspP4+OcYA+egNiSnLCDPJIwhd3qYNOfAmKkp0zv9tlNbJKEs/HZ9PR0wpkk3fF4&#10;ejyZJZri1dqHiF8VWJYOJQ9UvZxUsb2J2EEHSHrMwXVtTK6gcawp+cnxbJQN9hoiNy5hVe6FniZF&#10;1HmeT7gzKmGM+6405SIHkAS5C9WlCWwrqH+ElMphjj3zEjqhNDnxHsMe/+rVe4y7OIaXweHe2NYO&#10;Qo7+jdvVz8Fl3eEp5wdxpyO2q7av9AqqHRU6QDcq0cvrmqpxIyLei0CzQbWlecc7+mgDlHXoT5yt&#10;Ifz+mzzhqWVJy1lDs1by+GsjguLMfHPUzJ/H02kaznyZzk4ndAmHmtWhxm3sJVA5xrRZvMzHhEcz&#10;HHUA+0RrYZleJZVwkt4uucQwXC6x2wG0WKRaLjOMBtILvHEPXibyVJ/UbY/tkwi+b0mkZr6FYS7F&#10;/E1ndthk6WC5QdB1btuU4i6vfeppmHPj94snbYvDe0a9rsfFCwAAAP//AwBQSwMEFAAGAAgAAAAh&#10;AKye9uPiAAAACwEAAA8AAABkcnMvZG93bnJldi54bWxMj81OwzAQhO9IvIO1SFxQa9MfWkKcClVC&#10;yiGXFoTEzY2XOGpsB9tNw9uzPZXbjHY0+02+GW3HBgyx9U7C41QAQ1d73bpGwsf722QNLCbltOq8&#10;Qwm/GGFT3N7kKtP+7HY47FPDqMTFTEkwKfUZ57E2aFWc+h4d3b59sCqRDQ3XQZ2p3HZ8JsQTt6p1&#10;9MGoHrcG6+P+ZCUMn+VC7waTwsO2KkV5rH5WX5WU93fj6wuwhGO6huGCT+hQENPBn5yOrJMwW81p&#10;S5IwmS+WwC4JsX4mdSC1FMCLnP/fUPwBAAD//wMAUEsBAi0AFAAGAAgAAAAhALaDOJL+AAAA4QEA&#10;ABMAAAAAAAAAAAAAAAAAAAAAAFtDb250ZW50X1R5cGVzXS54bWxQSwECLQAUAAYACAAAACEAOP0h&#10;/9YAAACUAQAACwAAAAAAAAAAAAAAAAAvAQAAX3JlbHMvLnJlbHNQSwECLQAUAAYACAAAACEApZea&#10;LH8CAABmBQAADgAAAAAAAAAAAAAAAAAuAgAAZHJzL2Uyb0RvYy54bWxQSwECLQAUAAYACAAAACEA&#10;rJ724+IAAAALAQAADwAAAAAAAAAAAAAAAADZBAAAZHJzL2Rvd25yZXYueG1sUEsFBgAAAAAEAAQA&#10;8wAAAOgFAAAAAA==&#10;" filled="f" stroked="f" strokeweight=".5pt">
              <v:textbox>
                <w:txbxContent>
                  <w:p w:rsidR="004108A4" w:rsidRPr="004108A4" w:rsidRDefault="00CD4A72">
                    <w:r>
                      <w:rPr>
                        <w:b/>
                      </w:rPr>
                      <w:t xml:space="preserve">DATIM </w:t>
                    </w:r>
                    <w:r w:rsidR="00681E82">
                      <w:rPr>
                        <w:b/>
                      </w:rPr>
                      <w:t xml:space="preserve">Release Notes:  </w:t>
                    </w:r>
                    <w:r w:rsidR="005E1ED9">
                      <w:rPr>
                        <w:b/>
                      </w:rPr>
                      <w:t>1.</w:t>
                    </w:r>
                    <w:r w:rsidR="00BD4A49">
                      <w:rPr>
                        <w:b/>
                      </w:rPr>
                      <w:t>20g</w:t>
                    </w:r>
                  </w:p>
                </w:txbxContent>
              </v:textbox>
            </v:shape>
          </w:pict>
        </mc:Fallback>
      </mc:AlternateContent>
    </w:r>
    <w:r w:rsidR="00A832F2" w:rsidRPr="00A71C23">
      <w:rPr>
        <w:noProof/>
      </w:rPr>
      <w:drawing>
        <wp:anchor distT="0" distB="0" distL="114300" distR="114300" simplePos="0" relativeHeight="251659264" behindDoc="1" locked="0" layoutInCell="1" allowOverlap="1" wp14:anchorId="36FCD350" wp14:editId="1C437AD5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1846577" cy="609600"/>
          <wp:effectExtent l="0" t="0" r="1905" b="0"/>
          <wp:wrapNone/>
          <wp:docPr id="10" name="Picture 9" descr="The U.S. President's Emergency Plan for AIDS Reli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he U.S. President's Emergency Plan for AIDS Relie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7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8"/>
      <w:gridCol w:w="10188"/>
    </w:tblGrid>
    <w:tr w:rsidR="000D257D" w:rsidRPr="00A71C23" w:rsidTr="006A671C"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:rsidR="000D257D" w:rsidRPr="00A71C23" w:rsidRDefault="00731AFB" w:rsidP="006A671C">
          <w:pPr>
            <w:pStyle w:val="Header"/>
            <w:rPr>
              <w:sz w:val="6"/>
              <w:szCs w:val="6"/>
            </w:rPr>
          </w:pPr>
        </w:p>
      </w:tc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:rsidR="000D257D" w:rsidRPr="00A71C23" w:rsidRDefault="00731AFB" w:rsidP="006A671C">
          <w:pPr>
            <w:pStyle w:val="Header"/>
            <w:rPr>
              <w:sz w:val="6"/>
              <w:szCs w:val="6"/>
            </w:rPr>
          </w:pPr>
        </w:p>
      </w:tc>
    </w:tr>
  </w:tbl>
  <w:p w:rsidR="000D257D" w:rsidRDefault="00731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0F6"/>
    <w:multiLevelType w:val="hybridMultilevel"/>
    <w:tmpl w:val="285A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4242"/>
    <w:multiLevelType w:val="hybridMultilevel"/>
    <w:tmpl w:val="22BA9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96278"/>
    <w:multiLevelType w:val="hybridMultilevel"/>
    <w:tmpl w:val="BAD4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A0F"/>
    <w:multiLevelType w:val="hybridMultilevel"/>
    <w:tmpl w:val="28CA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32CCD"/>
    <w:multiLevelType w:val="hybridMultilevel"/>
    <w:tmpl w:val="35C07146"/>
    <w:lvl w:ilvl="0" w:tplc="C34AA6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F070CD0"/>
    <w:multiLevelType w:val="hybridMultilevel"/>
    <w:tmpl w:val="76E25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81277"/>
    <w:multiLevelType w:val="hybridMultilevel"/>
    <w:tmpl w:val="B9EE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36856"/>
    <w:multiLevelType w:val="hybridMultilevel"/>
    <w:tmpl w:val="0B7A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C7539"/>
    <w:multiLevelType w:val="hybridMultilevel"/>
    <w:tmpl w:val="785C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A0211"/>
    <w:multiLevelType w:val="hybridMultilevel"/>
    <w:tmpl w:val="C4F0C5BA"/>
    <w:lvl w:ilvl="0" w:tplc="0D165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4201"/>
    <w:multiLevelType w:val="hybridMultilevel"/>
    <w:tmpl w:val="ADAA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74D6"/>
    <w:multiLevelType w:val="hybridMultilevel"/>
    <w:tmpl w:val="53C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911"/>
    <w:multiLevelType w:val="hybridMultilevel"/>
    <w:tmpl w:val="72B8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A4"/>
    <w:rsid w:val="00022E26"/>
    <w:rsid w:val="000317D2"/>
    <w:rsid w:val="00044D4B"/>
    <w:rsid w:val="000524F5"/>
    <w:rsid w:val="00057816"/>
    <w:rsid w:val="00062847"/>
    <w:rsid w:val="00091610"/>
    <w:rsid w:val="00094DF5"/>
    <w:rsid w:val="00095654"/>
    <w:rsid w:val="000B0E06"/>
    <w:rsid w:val="000B6B15"/>
    <w:rsid w:val="000B6CE6"/>
    <w:rsid w:val="000D14CE"/>
    <w:rsid w:val="000D2BC2"/>
    <w:rsid w:val="0012656F"/>
    <w:rsid w:val="0013182C"/>
    <w:rsid w:val="001A27F3"/>
    <w:rsid w:val="001B264A"/>
    <w:rsid w:val="001D14DF"/>
    <w:rsid w:val="001D33B4"/>
    <w:rsid w:val="001D40BD"/>
    <w:rsid w:val="00205F51"/>
    <w:rsid w:val="002224FB"/>
    <w:rsid w:val="00236CA8"/>
    <w:rsid w:val="0025012C"/>
    <w:rsid w:val="002672E7"/>
    <w:rsid w:val="002B57D9"/>
    <w:rsid w:val="002D4A0F"/>
    <w:rsid w:val="002E2D6F"/>
    <w:rsid w:val="00356EDE"/>
    <w:rsid w:val="003654CA"/>
    <w:rsid w:val="0037043B"/>
    <w:rsid w:val="00385319"/>
    <w:rsid w:val="00390F1E"/>
    <w:rsid w:val="00396AD6"/>
    <w:rsid w:val="003A1CBC"/>
    <w:rsid w:val="003D5F0B"/>
    <w:rsid w:val="003E6E6E"/>
    <w:rsid w:val="004108A4"/>
    <w:rsid w:val="004229A8"/>
    <w:rsid w:val="004249F7"/>
    <w:rsid w:val="00440FE2"/>
    <w:rsid w:val="00446496"/>
    <w:rsid w:val="00463F4B"/>
    <w:rsid w:val="004663F4"/>
    <w:rsid w:val="0048673D"/>
    <w:rsid w:val="00492636"/>
    <w:rsid w:val="004A2B03"/>
    <w:rsid w:val="004A7E62"/>
    <w:rsid w:val="004C149E"/>
    <w:rsid w:val="004E1195"/>
    <w:rsid w:val="00535604"/>
    <w:rsid w:val="005403FC"/>
    <w:rsid w:val="00552F06"/>
    <w:rsid w:val="005A0A65"/>
    <w:rsid w:val="005D50E4"/>
    <w:rsid w:val="005E0C21"/>
    <w:rsid w:val="005E1ED9"/>
    <w:rsid w:val="005E2861"/>
    <w:rsid w:val="005F706E"/>
    <w:rsid w:val="00665F3B"/>
    <w:rsid w:val="00681E82"/>
    <w:rsid w:val="00683F3C"/>
    <w:rsid w:val="006D14C6"/>
    <w:rsid w:val="006D7DD7"/>
    <w:rsid w:val="006E0267"/>
    <w:rsid w:val="00705DA9"/>
    <w:rsid w:val="007303B3"/>
    <w:rsid w:val="00731AFB"/>
    <w:rsid w:val="007400EA"/>
    <w:rsid w:val="00755B0A"/>
    <w:rsid w:val="007824F1"/>
    <w:rsid w:val="008120F0"/>
    <w:rsid w:val="00812FFA"/>
    <w:rsid w:val="00813D90"/>
    <w:rsid w:val="00846589"/>
    <w:rsid w:val="00872636"/>
    <w:rsid w:val="008745DB"/>
    <w:rsid w:val="008A0C43"/>
    <w:rsid w:val="008D441E"/>
    <w:rsid w:val="008E54E8"/>
    <w:rsid w:val="00901A4B"/>
    <w:rsid w:val="009022E1"/>
    <w:rsid w:val="009160BA"/>
    <w:rsid w:val="00993D3C"/>
    <w:rsid w:val="009F58F4"/>
    <w:rsid w:val="00A05BF9"/>
    <w:rsid w:val="00A30AA2"/>
    <w:rsid w:val="00A311D1"/>
    <w:rsid w:val="00A33B16"/>
    <w:rsid w:val="00A375A1"/>
    <w:rsid w:val="00A525F9"/>
    <w:rsid w:val="00A832F2"/>
    <w:rsid w:val="00A94732"/>
    <w:rsid w:val="00AF0101"/>
    <w:rsid w:val="00B06D12"/>
    <w:rsid w:val="00B24581"/>
    <w:rsid w:val="00B2744F"/>
    <w:rsid w:val="00B3374C"/>
    <w:rsid w:val="00B77414"/>
    <w:rsid w:val="00B83EA7"/>
    <w:rsid w:val="00BD240C"/>
    <w:rsid w:val="00BD2FF3"/>
    <w:rsid w:val="00BD3F1B"/>
    <w:rsid w:val="00BD4A49"/>
    <w:rsid w:val="00BD7BC2"/>
    <w:rsid w:val="00C16273"/>
    <w:rsid w:val="00C16F7D"/>
    <w:rsid w:val="00C45B3B"/>
    <w:rsid w:val="00C60E53"/>
    <w:rsid w:val="00CD3111"/>
    <w:rsid w:val="00CD4A72"/>
    <w:rsid w:val="00CD5DCD"/>
    <w:rsid w:val="00CE1052"/>
    <w:rsid w:val="00D04861"/>
    <w:rsid w:val="00D15087"/>
    <w:rsid w:val="00D53ED8"/>
    <w:rsid w:val="00D615BA"/>
    <w:rsid w:val="00DA633F"/>
    <w:rsid w:val="00DF1DB9"/>
    <w:rsid w:val="00E17A31"/>
    <w:rsid w:val="00E2415F"/>
    <w:rsid w:val="00E40029"/>
    <w:rsid w:val="00E71156"/>
    <w:rsid w:val="00E94718"/>
    <w:rsid w:val="00EA1409"/>
    <w:rsid w:val="00EA3BE8"/>
    <w:rsid w:val="00EF0AE6"/>
    <w:rsid w:val="00F0565F"/>
    <w:rsid w:val="00F56888"/>
    <w:rsid w:val="00F601E0"/>
    <w:rsid w:val="00F62B6A"/>
    <w:rsid w:val="00F7660C"/>
    <w:rsid w:val="00F90F95"/>
    <w:rsid w:val="00F92CF6"/>
    <w:rsid w:val="00FA5A84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3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  <w:style w:type="paragraph" w:customStyle="1" w:styleId="Default">
    <w:name w:val="Default"/>
    <w:rsid w:val="00236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3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  <w:style w:type="paragraph" w:customStyle="1" w:styleId="Default">
    <w:name w:val="Default"/>
    <w:rsid w:val="00236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d4d42eed-c8c7-46cc-a2e4-4dae962e26ae" xsi:nil="true"/>
    <Program_x0020_Area xmlns="d4d42eed-c8c7-46cc-a2e4-4dae962e26ae" xsi:nil="true"/>
    <PEPFAR_x0020_Country xmlns="d4d42eed-c8c7-46cc-a2e4-4dae962e26ae"/>
    <TaxKeywordTaxHTField xmlns="d4d42eed-c8c7-46cc-a2e4-4dae962e26ae">
      <Terms xmlns="http://schemas.microsoft.com/office/infopath/2007/PartnerControls"/>
    </TaxKeywordTaxHTField>
    <TWG xmlns="d4d42eed-c8c7-46cc-a2e4-4dae962e26ae"/>
    <TaxCatchAll xmlns="d4d42eed-c8c7-46cc-a2e4-4dae962e26ae"/>
    <Planning_x0020_and_x0020_Reporting_x0020_Cycle xmlns="d4d42eed-c8c7-46cc-a2e4-4dae962e26ae" xsi:nil="true"/>
    <Agencies xmlns="d4d42eed-c8c7-46cc-a2e4-4dae962e26ae" xsi:nil="true"/>
    <Activities xmlns="d4d42eed-c8c7-46cc-a2e4-4dae962e2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Page Document" ma:contentTypeID="0x010100D1585AAD5237D746AF5036926BE15F1C00342E93694C9A3E4AA44F3B80964DDBAA" ma:contentTypeVersion="1" ma:contentTypeDescription="" ma:contentTypeScope="" ma:versionID="9e32bdc62bb13bd4a5aaf2eb8b49c91e">
  <xsd:schema xmlns:xsd="http://www.w3.org/2001/XMLSchema" xmlns:xs="http://www.w3.org/2001/XMLSchema" xmlns:p="http://schemas.microsoft.com/office/2006/metadata/properties" xmlns:ns2="d4d42eed-c8c7-46cc-a2e4-4dae962e26ae" targetNamespace="http://schemas.microsoft.com/office/2006/metadata/properties" ma:root="true" ma:fieldsID="fc590533526758e23e5a450270028e9e" ns2:_="">
    <xsd:import namespace="d4d42eed-c8c7-46cc-a2e4-4dae962e26ae"/>
    <xsd:element name="properties">
      <xsd:complexType>
        <xsd:sequence>
          <xsd:element name="documentManagement">
            <xsd:complexType>
              <xsd:all>
                <xsd:element ref="ns2:Activities" minOccurs="0"/>
                <xsd:element ref="ns2:Program_x0020_Area" minOccurs="0"/>
                <xsd:element ref="ns2:Planning_x0020_and_x0020_Reporting_x0020_Cycle" minOccurs="0"/>
                <xsd:element ref="ns2:Fiscal_x0020_Year" minOccurs="0"/>
                <xsd:element ref="ns2:Agencies" minOccurs="0"/>
                <xsd:element ref="ns2:PEPFAR_x0020_Country" minOccurs="0"/>
                <xsd:element ref="ns2:TW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42eed-c8c7-46cc-a2e4-4dae962e26ae" elementFormDefault="qualified">
    <xsd:import namespace="http://schemas.microsoft.com/office/2006/documentManagement/types"/>
    <xsd:import namespace="http://schemas.microsoft.com/office/infopath/2007/PartnerControls"/>
    <xsd:element name="Activities" ma:index="1" nillable="true" ma:displayName="Activities" ma:format="Dropdown" ma:internalName="Activities">
      <xsd:simpleType>
        <xsd:restriction base="dms:Choice">
          <xsd:enumeration value="(None)"/>
          <xsd:enumeration value="Communications"/>
          <xsd:enumeration value="Event"/>
          <xsd:enumeration value="Financial"/>
          <xsd:enumeration value="Human Resources"/>
          <xsd:enumeration value="Meeting"/>
          <xsd:enumeration value="Planning"/>
          <xsd:enumeration value="Records"/>
          <xsd:enumeration value="Training"/>
        </xsd:restriction>
      </xsd:simpleType>
    </xsd:element>
    <xsd:element name="Program_x0020_Area" ma:index="2" nillable="true" ma:displayName="Program Area" ma:format="Dropdown" ma:internalName="Program_x0020_Area">
      <xsd:simpleType>
        <xsd:restriction base="dms:Choice">
          <xsd:enumeration value="(None)"/>
          <xsd:enumeration value="Prevention"/>
          <xsd:enumeration value="Care"/>
          <xsd:enumeration value="Treatment"/>
          <xsd:enumeration value="Systems and Governance"/>
          <xsd:enumeration value="Cross Cutting"/>
        </xsd:restriction>
      </xsd:simpleType>
    </xsd:element>
    <xsd:element name="Planning_x0020_and_x0020_Reporting_x0020_Cycle" ma:index="3" nillable="true" ma:displayName="Planning and Reporting Cycle" ma:format="Dropdown" ma:internalName="Planning_x0020_and_x0020_Reporting_x0020_Cycle">
      <xsd:simpleType>
        <xsd:restriction base="dms:Choice">
          <xsd:enumeration value="(None)"/>
          <xsd:enumeration value="Archive"/>
          <xsd:enumeration value="APR"/>
          <xsd:enumeration value="COP"/>
          <xsd:enumeration value="HOP"/>
          <xsd:enumeration value="OPU"/>
          <xsd:enumeration value="Pre-COP"/>
          <xsd:enumeration value="SAPR"/>
        </xsd:restriction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(None)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Agencies" ma:index="5" nillable="true" ma:displayName="Agency" ma:format="Dropdown" ma:internalName="Agencies">
      <xsd:simpleType>
        <xsd:restriction base="dms:Choice">
          <xsd:enumeration value="(None)"/>
          <xsd:enumeration value="All"/>
          <xsd:enumeration value="Commerce"/>
          <xsd:enumeration value="Defense"/>
          <xsd:enumeration value="Labor"/>
          <xsd:enumeration value="HHS/CDC"/>
          <xsd:enumeration value="HHS/FDA"/>
          <xsd:enumeration value="HHS/HRSA"/>
          <xsd:enumeration value="HHS/NIH"/>
          <xsd:enumeration value="HHS/OGA"/>
          <xsd:enumeration value="HHS/SAMHSA"/>
          <xsd:enumeration value="Other"/>
          <xsd:enumeration value="Peace Corps"/>
          <xsd:enumeration value="State"/>
          <xsd:enumeration value="Treasury"/>
          <xsd:enumeration value="USAID"/>
        </xsd:restriction>
      </xsd:simpleType>
    </xsd:element>
    <xsd:element name="PEPFAR_x0020_Country" ma:index="7" nillable="true" ma:displayName="OU" ma:internalName="PEPFAR_x0020_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None)"/>
                    <xsd:enumeration value="All"/>
                    <xsd:enumeration value="Angola"/>
                    <xsd:enumeration value="Asia Regional Program (ARP)"/>
                    <xsd:enumeration value="Botswana"/>
                    <xsd:enumeration value="Burma"/>
                    <xsd:enumeration value="Burundi"/>
                    <xsd:enumeration value="Cambodia"/>
                    <xsd:enumeration value="Cameroon"/>
                    <xsd:enumeration value="Caribbean Region"/>
                    <xsd:enumeration value="Central America Region"/>
                    <xsd:enumeration value="Central Asia Region"/>
                    <xsd:enumeration value="Cote d' Ivoire"/>
                    <xsd:enumeration value="Democratic Republic of the Congo"/>
                    <xsd:enumeration value="Dominican Republic"/>
                    <xsd:enumeration value="Ethiopia"/>
                    <xsd:enumeration value="Ghana"/>
                    <xsd:enumeration value="Guyana"/>
                    <xsd:enumeration value="Haiti"/>
                    <xsd:enumeration value="HQ"/>
                    <xsd:enumeration value="India"/>
                    <xsd:enumeration value="Indonesia"/>
                    <xsd:enumeration value="Kenya"/>
                    <xsd:enumeration value="Lesotho"/>
                    <xsd:enumeration value="Malawi"/>
                    <xsd:enumeration value="Mozambique"/>
                    <xsd:enumeration value="Namibia"/>
                    <xsd:enumeration value="Nigeria"/>
                    <xsd:enumeration value="PNG"/>
                    <xsd:enumeration value="Russia"/>
                    <xsd:enumeration value="Rwanda"/>
                    <xsd:enumeration value="South Africa"/>
                    <xsd:enumeration value="South Sudan"/>
                    <xsd:enumeration value="Swaziland"/>
                    <xsd:enumeration value="Tanzania"/>
                    <xsd:enumeration value="Uganda"/>
                    <xsd:enumeration value="Ukraine"/>
                    <xsd:enumeration value="Vietnam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WG" ma:index="8" nillable="true" ma:displayName="TWG" ma:internalName="TW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Treatment"/>
                    <xsd:enumeration value="Care &amp; Support"/>
                    <xsd:enumeration value="Care &amp; Treat Steer. Comm."/>
                    <xsd:enumeration value="Counseling &amp; Testing"/>
                    <xsd:enumeration value="Country Ownership"/>
                    <xsd:enumeration value="Family Planning/HIV Integration Staff"/>
                    <xsd:enumeration value="Finance &amp; Econ"/>
                    <xsd:enumeration value="Food &amp; Nutrition"/>
                    <xsd:enumeration value="Gender"/>
                    <xsd:enumeration value="General Popul’n &amp; Youth"/>
                    <xsd:enumeration value="HMIS"/>
                    <xsd:enumeration value="HRH"/>
                    <xsd:enumeration value="HSS Steer. Comm."/>
                    <xsd:enumeration value="Key Populations"/>
                    <xsd:enumeration value="Laboratory"/>
                    <xsd:enumeration value="Male Circ Taskforce"/>
                    <xsd:enumeration value="Medical Transmission"/>
                    <xsd:enumeration value="Modeling"/>
                    <xsd:enumeration value="M&amp;E Working Group"/>
                    <xsd:enumeration value="OVC"/>
                    <xsd:enumeration value="PMTCT/Peds"/>
                    <xsd:enumeration value="PPP"/>
                    <xsd:enumeration value="Prevention Steering Committee"/>
                    <xsd:enumeration value="PwP/PHDP Task Force"/>
                    <xsd:enumeration value="SI Steer. Comm."/>
                    <xsd:enumeration value="Surveillance &amp; Survey"/>
                    <xsd:enumeration value="TB/HIV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a3ed24b8-f9c7-4232-96b6-dc38af229518}" ma:internalName="TaxCatchAll" ma:showField="CatchAllData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a3ed24b8-f9c7-4232-96b6-dc38af229518}" ma:internalName="TaxCatchAllLabel" ma:readOnly="true" ma:showField="CatchAllDataLabel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3FA4E-0170-4F63-AEFC-960E49A0702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d4d42eed-c8c7-46cc-a2e4-4dae962e26a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734A4-F647-4804-84C3-ECC9DB8E0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42eed-c8c7-46cc-a2e4-4dae962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3887F-DCE6-4B5A-8761-FE2E9745C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Juthe, Dana S</cp:lastModifiedBy>
  <cp:revision>3</cp:revision>
  <cp:lastPrinted>2016-10-20T18:08:00Z</cp:lastPrinted>
  <dcterms:created xsi:type="dcterms:W3CDTF">2017-02-21T23:02:00Z</dcterms:created>
  <dcterms:modified xsi:type="dcterms:W3CDTF">2017-02-21T23:08:00Z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0x010100D1585AAD5237D746AF5036926BE15F1C00342E93694C9A3E4AA44F3B80964DDBAA</vt:lpwstr>
  </property>
  <property fmtid="{D5CDD505-2E9C-101B-9397-08002B2CF9AE}" pid="3" name="TaxKeyword">
    <vt:lpwstr/>
  </property>
</Properties>
</file>