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57" w:rsidRDefault="00D71257" w:rsidP="00D71257">
      <w:pPr>
        <w:rPr>
          <w:rFonts w:ascii="Lucida Grande" w:hAnsi="Lucida Grande" w:cs="Lucida Grande"/>
          <w:color w:val="111111"/>
          <w:sz w:val="26"/>
          <w:shd w:val="clear" w:color="auto" w:fill="FFFFFF"/>
        </w:rPr>
      </w:pPr>
      <w:r w:rsidRPr="00D71257">
        <w:rPr>
          <w:rFonts w:ascii="Lucida Grande" w:hAnsi="Lucida Grande" w:cs="Lucida Grande"/>
          <w:color w:val="111111"/>
          <w:sz w:val="26"/>
          <w:shd w:val="clear" w:color="auto" w:fill="FFFFFF"/>
        </w:rPr>
        <w:t xml:space="preserve">This update of </w:t>
      </w:r>
      <w:r>
        <w:rPr>
          <w:rFonts w:ascii="Lucida Grande" w:hAnsi="Lucida Grande" w:cs="Lucida Grande"/>
          <w:color w:val="111111"/>
          <w:sz w:val="26"/>
          <w:shd w:val="clear" w:color="auto" w:fill="FFFFFF"/>
        </w:rPr>
        <w:t xml:space="preserve">DATIM </w:t>
      </w:r>
      <w:r w:rsidRPr="00D71257">
        <w:rPr>
          <w:rFonts w:ascii="Lucida Grande" w:hAnsi="Lucida Grande" w:cs="Lucida Grande"/>
          <w:color w:val="111111"/>
          <w:sz w:val="26"/>
          <w:shd w:val="clear" w:color="auto" w:fill="FFFFFF"/>
        </w:rPr>
        <w:t>includes the following items</w:t>
      </w:r>
      <w:r>
        <w:rPr>
          <w:rFonts w:ascii="Lucida Grande" w:hAnsi="Lucida Grande" w:cs="Lucida Grande"/>
          <w:color w:val="111111"/>
          <w:sz w:val="26"/>
          <w:shd w:val="clear" w:color="auto" w:fill="FFFFFF"/>
        </w:rPr>
        <w:t xml:space="preserve"> for the COP16 Target data entry forms</w:t>
      </w:r>
      <w:r w:rsidRPr="00D71257">
        <w:rPr>
          <w:rFonts w:ascii="Lucida Grande" w:hAnsi="Lucida Grande" w:cs="Lucida Grande"/>
          <w:color w:val="111111"/>
          <w:sz w:val="26"/>
          <w:shd w:val="clear" w:color="auto" w:fill="FFFFFF"/>
        </w:rPr>
        <w:t>:</w:t>
      </w:r>
    </w:p>
    <w:tbl>
      <w:tblPr>
        <w:tblpPr w:leftFromText="180" w:rightFromText="180" w:horzAnchor="page" w:tblpX="1" w:tblpY="1306"/>
        <w:tblW w:w="10800" w:type="dxa"/>
        <w:tblCellSpacing w:w="2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2327"/>
        <w:gridCol w:w="7647"/>
      </w:tblGrid>
      <w:tr w:rsidR="00D71257" w:rsidRPr="00423C1E" w:rsidTr="00C9532E">
        <w:trPr>
          <w:tblHeader/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b/>
                <w:bCs/>
                <w:color w:val="111111"/>
                <w:sz w:val="24"/>
                <w:szCs w:val="24"/>
              </w:rPr>
              <w:t>#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b/>
                <w:bCs/>
                <w:color w:val="111111"/>
                <w:sz w:val="24"/>
                <w:szCs w:val="24"/>
              </w:rPr>
              <w:t>Indicator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b/>
                <w:bCs/>
                <w:color w:val="111111"/>
                <w:sz w:val="24"/>
                <w:szCs w:val="24"/>
              </w:rPr>
              <w:t>Update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1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OVC_KNOWN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Indicator was removed from target data entry form.  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2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INVS_COMD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Indicator was added to target data entry form at the IM level.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3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proofErr w:type="spellStart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PrEP_NEW</w:t>
            </w:r>
            <w:proofErr w:type="spellEnd"/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71257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Numerator: Language for the numerator description now reads: “Number of individuals who have received antiretroviral pre-exposure prophylaxis in the reporting period (</w:t>
            </w:r>
            <w:proofErr w:type="spellStart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PrEP</w:t>
            </w:r>
            <w:proofErr w:type="spellEnd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) to prevent HIV infection.)”.</w:t>
            </w:r>
          </w:p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Denominator: Denominator was removed from the target data entry screen.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4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PMTCT_STAT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655A81" w:rsidRDefault="00D71257" w:rsidP="00655A81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Language for the numerator now reads “Number of pregnant women with known HIV status (includes those who already knew their HIV status prior to ANC)”. </w:t>
            </w:r>
          </w:p>
          <w:p w:rsidR="00423C1E" w:rsidRPr="00423C1E" w:rsidRDefault="00D71257" w:rsidP="00655A81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Also, the order of </w:t>
            </w:r>
            <w:proofErr w:type="gramStart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the disaggregates</w:t>
            </w:r>
            <w:proofErr w:type="gramEnd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 in the target data entry screen </w:t>
            </w:r>
            <w:r w:rsidR="00655A81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was</w:t>
            </w: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 changed so the age disaggregate will appear above the disaggregate for age by known/new positivity status.</w:t>
            </w:r>
            <w:r w:rsidRPr="00A47AB7">
              <w:rPr>
                <w:rFonts w:ascii="Lucida Grande" w:eastAsia="Times New Roman" w:hAnsi="Lucida Grande" w:cs="Lucida Grande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5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PMTCT_ART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71257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Numerator: Language for disaggregates that appear on the screen now read: “New on ART”; “Already on ART at the beginning of the current pregnancy”.  </w:t>
            </w:r>
          </w:p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 Denominator:  Also, the auto-calculated denominator was removed from the data entry screen in DATIM.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6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TB_SCREENDX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proofErr w:type="gramStart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The disaggregates</w:t>
            </w:r>
            <w:proofErr w:type="gramEnd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 for TB_SCREENDX were updated to clearly indicate fields as being disaggregates of other fields.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7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TX_PVLS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Language for the numerator change</w:t>
            </w:r>
            <w:bookmarkStart w:id="0" w:name="_GoBack"/>
            <w:bookmarkEnd w:id="0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d to “Number of adult and pediatric patients on ART with suppressed viral load results (&lt;1,000 copies/ml) </w:t>
            </w: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lastRenderedPageBreak/>
              <w:t>documented in the medical records and/or supporting laboratory results within the past 12 months”.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TB_STAT, TB_ART, and PP_PREV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The word “numerator” was added to Age/Sex disaggregates to clearly indicate that these </w:t>
            </w:r>
            <w:proofErr w:type="spellStart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disaggregations</w:t>
            </w:r>
            <w:proofErr w:type="spellEnd"/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 xml:space="preserve"> should be for the numerator 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9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GEND_GBV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Was moved from System tab to Prevention tab.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10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HRH_PRE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This indicator was removed from the Community level so that it only appears at the OU level. </w:t>
            </w:r>
          </w:p>
        </w:tc>
      </w:tr>
      <w:tr w:rsidR="00D71257" w:rsidRPr="00423C1E" w:rsidTr="00C9532E">
        <w:trPr>
          <w:tblCellSpacing w:w="20" w:type="dxa"/>
        </w:trPr>
        <w:tc>
          <w:tcPr>
            <w:tcW w:w="76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11</w:t>
            </w:r>
          </w:p>
        </w:tc>
        <w:tc>
          <w:tcPr>
            <w:tcW w:w="22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TB_STAT</w:t>
            </w:r>
          </w:p>
        </w:tc>
        <w:tc>
          <w:tcPr>
            <w:tcW w:w="758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23C1E" w:rsidRPr="00423C1E" w:rsidRDefault="00D71257" w:rsidP="00C9532E">
            <w:pPr>
              <w:spacing w:before="100" w:beforeAutospacing="1" w:after="100" w:afterAutospacing="1" w:line="332" w:lineRule="atLeast"/>
              <w:rPr>
                <w:rFonts w:ascii="Lucida Grande" w:eastAsia="Times New Roman" w:hAnsi="Lucida Grande" w:cs="Lucida Grande"/>
                <w:color w:val="111111"/>
                <w:sz w:val="20"/>
                <w:szCs w:val="20"/>
              </w:rPr>
            </w:pPr>
            <w:r w:rsidRPr="00A47AB7">
              <w:rPr>
                <w:rFonts w:ascii="Lucida Grande" w:eastAsia="Times New Roman" w:hAnsi="Lucida Grande" w:cs="Lucida Grande"/>
                <w:color w:val="111111"/>
                <w:sz w:val="24"/>
                <w:szCs w:val="24"/>
              </w:rPr>
              <w:t>The coloring of the indicator was updated to orange to indicate semi-annual reporting frequency.  </w:t>
            </w:r>
          </w:p>
        </w:tc>
      </w:tr>
    </w:tbl>
    <w:p w:rsidR="00D71257" w:rsidRPr="00D71257" w:rsidRDefault="00D71257" w:rsidP="00D71257">
      <w:pPr>
        <w:rPr>
          <w:sz w:val="28"/>
        </w:rPr>
      </w:pPr>
    </w:p>
    <w:p w:rsidR="00D71257" w:rsidRDefault="00D71257"/>
    <w:sectPr w:rsidR="00D71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1E"/>
    <w:rsid w:val="001E54EE"/>
    <w:rsid w:val="00423C1E"/>
    <w:rsid w:val="00655A81"/>
    <w:rsid w:val="00A47AB7"/>
    <w:rsid w:val="00BA3228"/>
    <w:rsid w:val="00D14A3B"/>
    <w:rsid w:val="00D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medium">
    <w:name w:val="wysiwyg-font-size-medium"/>
    <w:basedOn w:val="DefaultParagraphFont"/>
    <w:rsid w:val="00423C1E"/>
  </w:style>
  <w:style w:type="character" w:styleId="Strong">
    <w:name w:val="Strong"/>
    <w:basedOn w:val="DefaultParagraphFont"/>
    <w:uiPriority w:val="22"/>
    <w:qFormat/>
    <w:rsid w:val="00423C1E"/>
    <w:rPr>
      <w:b/>
      <w:bCs/>
    </w:rPr>
  </w:style>
  <w:style w:type="character" w:customStyle="1" w:styleId="apple-converted-space">
    <w:name w:val="apple-converted-space"/>
    <w:basedOn w:val="DefaultParagraphFont"/>
    <w:rsid w:val="00423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medium">
    <w:name w:val="wysiwyg-font-size-medium"/>
    <w:basedOn w:val="DefaultParagraphFont"/>
    <w:rsid w:val="00423C1E"/>
  </w:style>
  <w:style w:type="character" w:styleId="Strong">
    <w:name w:val="Strong"/>
    <w:basedOn w:val="DefaultParagraphFont"/>
    <w:uiPriority w:val="22"/>
    <w:qFormat/>
    <w:rsid w:val="00423C1E"/>
    <w:rPr>
      <w:b/>
      <w:bCs/>
    </w:rPr>
  </w:style>
  <w:style w:type="character" w:customStyle="1" w:styleId="apple-converted-space">
    <w:name w:val="apple-converted-space"/>
    <w:basedOn w:val="DefaultParagraphFont"/>
    <w:rsid w:val="0042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Juthe, Dana S</dc:creator>
  <cp:lastModifiedBy>Juthe, Dana S</cp:lastModifiedBy>
  <cp:revision>3</cp:revision>
  <dcterms:created xsi:type="dcterms:W3CDTF">2016-03-22T21:48:00Z</dcterms:created>
  <dcterms:modified xsi:type="dcterms:W3CDTF">2016-03-22T22:17:00Z</dcterms:modified>
</cp:coreProperties>
</file>