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835" w:type="pct"/>
        <w:tblLook w:val="04A0" w:firstRow="1" w:lastRow="0" w:firstColumn="1" w:lastColumn="0" w:noHBand="0" w:noVBand="1"/>
      </w:tblPr>
      <w:tblGrid>
        <w:gridCol w:w="459"/>
        <w:gridCol w:w="4823"/>
        <w:gridCol w:w="2510"/>
        <w:gridCol w:w="2642"/>
      </w:tblGrid>
      <w:tr w:rsidR="00624CBA" w:rsidRPr="0040797C" w14:paraId="5A09A085" w14:textId="4E674196" w:rsidTr="09009BBF">
        <w:trPr>
          <w:trHeight w:val="467"/>
          <w:tblHeader/>
        </w:trPr>
        <w:tc>
          <w:tcPr>
            <w:tcW w:w="220" w:type="pct"/>
            <w:vMerge w:val="restart"/>
            <w:textDirection w:val="btLr"/>
          </w:tcPr>
          <w:p w14:paraId="34612B34" w14:textId="77777777" w:rsidR="00624CBA" w:rsidRPr="0040797C" w:rsidRDefault="00624CBA" w:rsidP="005F2318">
            <w:pPr>
              <w:jc w:val="center"/>
              <w:rPr>
                <w:rFonts w:ascii="Arial" w:eastAsia="Calibri" w:hAnsi="Arial" w:cs="Arial"/>
                <w:b/>
                <w:sz w:val="20"/>
                <w:szCs w:val="20"/>
              </w:rPr>
            </w:pPr>
          </w:p>
        </w:tc>
        <w:tc>
          <w:tcPr>
            <w:tcW w:w="2311" w:type="pct"/>
            <w:vMerge w:val="restart"/>
          </w:tcPr>
          <w:p w14:paraId="0EC32FE1" w14:textId="552CC1DE" w:rsidR="00624CBA" w:rsidRPr="0040797C" w:rsidRDefault="00624CBA" w:rsidP="00624CBA">
            <w:pPr>
              <w:ind w:left="288"/>
              <w:rPr>
                <w:rFonts w:ascii="Arial" w:eastAsia="Calibri" w:hAnsi="Arial" w:cs="Arial"/>
                <w:b/>
                <w:sz w:val="20"/>
                <w:szCs w:val="20"/>
              </w:rPr>
            </w:pPr>
            <w:r w:rsidRPr="0040797C">
              <w:rPr>
                <w:rFonts w:ascii="Arial" w:eastAsia="Calibri" w:hAnsi="Arial" w:cs="Arial"/>
                <w:b/>
                <w:sz w:val="20"/>
                <w:szCs w:val="20"/>
              </w:rPr>
              <w:t>Minimum Program Requirement</w:t>
            </w:r>
          </w:p>
        </w:tc>
        <w:tc>
          <w:tcPr>
            <w:tcW w:w="2469" w:type="pct"/>
            <w:gridSpan w:val="2"/>
          </w:tcPr>
          <w:p w14:paraId="6A4BFB72" w14:textId="32D1D724" w:rsidR="00624CBA" w:rsidRPr="0040797C" w:rsidRDefault="00624CBA" w:rsidP="00D22E47">
            <w:pPr>
              <w:jc w:val="center"/>
              <w:rPr>
                <w:rFonts w:ascii="Arial" w:eastAsia="Calibri" w:hAnsi="Arial" w:cs="Arial"/>
                <w:b/>
                <w:sz w:val="20"/>
                <w:szCs w:val="20"/>
              </w:rPr>
            </w:pPr>
            <w:r w:rsidRPr="0040797C">
              <w:rPr>
                <w:rFonts w:ascii="Arial" w:eastAsia="Calibri" w:hAnsi="Arial" w:cs="Arial"/>
                <w:b/>
                <w:sz w:val="20"/>
                <w:szCs w:val="20"/>
              </w:rPr>
              <w:t>Minimum Site Requirements</w:t>
            </w:r>
          </w:p>
        </w:tc>
      </w:tr>
      <w:tr w:rsidR="00624CBA" w:rsidRPr="0040797C" w14:paraId="77304B69" w14:textId="77777777" w:rsidTr="09009BBF">
        <w:trPr>
          <w:trHeight w:val="467"/>
          <w:tblHeader/>
        </w:trPr>
        <w:tc>
          <w:tcPr>
            <w:tcW w:w="220" w:type="pct"/>
            <w:vMerge/>
            <w:textDirection w:val="btLr"/>
          </w:tcPr>
          <w:p w14:paraId="17B1B71A" w14:textId="77777777" w:rsidR="00624CBA" w:rsidRPr="0040797C" w:rsidRDefault="00624CBA" w:rsidP="005F2318">
            <w:pPr>
              <w:jc w:val="center"/>
              <w:rPr>
                <w:rFonts w:ascii="Arial" w:eastAsia="Calibri" w:hAnsi="Arial" w:cs="Arial"/>
                <w:b/>
                <w:sz w:val="20"/>
                <w:szCs w:val="20"/>
              </w:rPr>
            </w:pPr>
          </w:p>
        </w:tc>
        <w:tc>
          <w:tcPr>
            <w:tcW w:w="2311" w:type="pct"/>
            <w:vMerge/>
          </w:tcPr>
          <w:p w14:paraId="17CA2442" w14:textId="3FCDCC8B" w:rsidR="00624CBA" w:rsidRPr="0040797C" w:rsidRDefault="00624CBA" w:rsidP="00624CBA">
            <w:pPr>
              <w:ind w:left="288"/>
              <w:rPr>
                <w:rFonts w:ascii="Arial" w:eastAsia="Calibri" w:hAnsi="Arial" w:cs="Arial"/>
                <w:b/>
                <w:sz w:val="20"/>
                <w:szCs w:val="20"/>
              </w:rPr>
            </w:pPr>
          </w:p>
        </w:tc>
        <w:tc>
          <w:tcPr>
            <w:tcW w:w="1203" w:type="pct"/>
          </w:tcPr>
          <w:p w14:paraId="40DDBA37" w14:textId="2A1D6623" w:rsidR="00624CBA" w:rsidRPr="0040797C" w:rsidRDefault="00624CBA" w:rsidP="00624CBA">
            <w:pPr>
              <w:ind w:left="48"/>
              <w:rPr>
                <w:rFonts w:ascii="Arial" w:eastAsia="Calibri" w:hAnsi="Arial" w:cs="Arial"/>
                <w:b/>
                <w:sz w:val="20"/>
                <w:szCs w:val="20"/>
              </w:rPr>
            </w:pPr>
            <w:r w:rsidRPr="0040797C">
              <w:rPr>
                <w:rFonts w:ascii="Arial" w:eastAsia="Calibri" w:hAnsi="Arial" w:cs="Arial"/>
                <w:b/>
                <w:sz w:val="20"/>
                <w:szCs w:val="20"/>
              </w:rPr>
              <w:t xml:space="preserve">Quality: </w:t>
            </w:r>
            <w:r w:rsidRPr="0040797C">
              <w:rPr>
                <w:rFonts w:ascii="Arial" w:eastAsia="Calibri" w:hAnsi="Arial" w:cs="Arial"/>
                <w:bCs/>
                <w:sz w:val="20"/>
                <w:szCs w:val="20"/>
              </w:rPr>
              <w:t xml:space="preserve">Using SIMS </w:t>
            </w:r>
            <w:r w:rsidR="00D010B0">
              <w:rPr>
                <w:rFonts w:ascii="Arial" w:eastAsia="Calibri" w:hAnsi="Arial" w:cs="Arial"/>
                <w:bCs/>
                <w:sz w:val="20"/>
                <w:szCs w:val="20"/>
              </w:rPr>
              <w:t xml:space="preserve">4.2 </w:t>
            </w:r>
            <w:r w:rsidRPr="0040797C">
              <w:rPr>
                <w:rFonts w:ascii="Arial" w:eastAsia="Calibri" w:hAnsi="Arial" w:cs="Arial"/>
                <w:bCs/>
                <w:sz w:val="20"/>
                <w:szCs w:val="20"/>
              </w:rPr>
              <w:t>CEEs</w:t>
            </w:r>
          </w:p>
        </w:tc>
        <w:tc>
          <w:tcPr>
            <w:tcW w:w="1266" w:type="pct"/>
          </w:tcPr>
          <w:p w14:paraId="153D9957" w14:textId="6CB33F27" w:rsidR="00624CBA" w:rsidRPr="0040797C" w:rsidRDefault="00624CBA" w:rsidP="00624CBA">
            <w:pPr>
              <w:ind w:left="162"/>
              <w:rPr>
                <w:rFonts w:ascii="Arial" w:eastAsia="Calibri" w:hAnsi="Arial" w:cs="Arial"/>
                <w:b/>
                <w:sz w:val="20"/>
                <w:szCs w:val="20"/>
              </w:rPr>
            </w:pPr>
            <w:r w:rsidRPr="0040797C">
              <w:rPr>
                <w:rFonts w:ascii="Arial" w:eastAsia="Calibri" w:hAnsi="Arial" w:cs="Arial"/>
                <w:b/>
                <w:sz w:val="20"/>
                <w:szCs w:val="20"/>
              </w:rPr>
              <w:t xml:space="preserve">Results: </w:t>
            </w:r>
            <w:r w:rsidRPr="0040797C">
              <w:rPr>
                <w:rFonts w:ascii="Arial" w:eastAsia="Calibri" w:hAnsi="Arial" w:cs="Arial"/>
                <w:bCs/>
                <w:sz w:val="20"/>
                <w:szCs w:val="20"/>
              </w:rPr>
              <w:t>Using MER 2.6</w:t>
            </w:r>
          </w:p>
        </w:tc>
      </w:tr>
      <w:tr w:rsidR="00333FA2" w:rsidRPr="0040797C" w14:paraId="0F96F44D" w14:textId="7FFA2A17" w:rsidTr="09009BBF">
        <w:trPr>
          <w:trHeight w:val="467"/>
        </w:trPr>
        <w:tc>
          <w:tcPr>
            <w:tcW w:w="220" w:type="pct"/>
            <w:vMerge w:val="restart"/>
            <w:shd w:val="clear" w:color="auto" w:fill="FFFF99"/>
            <w:textDirection w:val="btLr"/>
          </w:tcPr>
          <w:p w14:paraId="3E5FE695" w14:textId="77777777" w:rsidR="00333FA2" w:rsidRPr="0040797C" w:rsidRDefault="00333FA2" w:rsidP="005F2318">
            <w:pPr>
              <w:jc w:val="center"/>
              <w:rPr>
                <w:rFonts w:ascii="Arial" w:eastAsia="Calibri" w:hAnsi="Arial" w:cs="Arial"/>
                <w:b/>
                <w:sz w:val="20"/>
                <w:szCs w:val="20"/>
              </w:rPr>
            </w:pPr>
            <w:r w:rsidRPr="0040797C">
              <w:rPr>
                <w:rFonts w:ascii="Arial" w:eastAsia="Calibri" w:hAnsi="Arial" w:cs="Arial"/>
                <w:b/>
                <w:sz w:val="20"/>
                <w:szCs w:val="20"/>
              </w:rPr>
              <w:t>Care and Treatment</w:t>
            </w:r>
          </w:p>
          <w:p w14:paraId="001DBAEC" w14:textId="77777777" w:rsidR="00333FA2" w:rsidRPr="0040797C" w:rsidRDefault="00333FA2" w:rsidP="005F2318">
            <w:pPr>
              <w:jc w:val="center"/>
              <w:rPr>
                <w:rFonts w:ascii="Arial" w:eastAsia="Calibri" w:hAnsi="Arial" w:cs="Arial"/>
                <w:b/>
                <w:sz w:val="20"/>
                <w:szCs w:val="20"/>
                <w:u w:val="single"/>
              </w:rPr>
            </w:pPr>
          </w:p>
        </w:tc>
        <w:tc>
          <w:tcPr>
            <w:tcW w:w="2311" w:type="pct"/>
            <w:shd w:val="clear" w:color="auto" w:fill="auto"/>
          </w:tcPr>
          <w:p w14:paraId="0F98AC94" w14:textId="4F22ACC5" w:rsidR="00333FA2" w:rsidRPr="006F6126" w:rsidRDefault="00333FA2" w:rsidP="00624CBA">
            <w:pPr>
              <w:numPr>
                <w:ilvl w:val="0"/>
                <w:numId w:val="1"/>
              </w:numPr>
              <w:ind w:left="288"/>
              <w:rPr>
                <w:rFonts w:ascii="Arial" w:eastAsia="Calibri" w:hAnsi="Arial" w:cs="Arial"/>
                <w:sz w:val="20"/>
                <w:szCs w:val="20"/>
              </w:rPr>
            </w:pPr>
            <w:r w:rsidRPr="006F6126">
              <w:rPr>
                <w:rFonts w:ascii="Arial" w:eastAsia="Calibri" w:hAnsi="Arial" w:cs="Arial"/>
                <w:sz w:val="20"/>
                <w:szCs w:val="20"/>
              </w:rPr>
              <w:t xml:space="preserve">Adoption and implementation of Test and Start with demonstrable access across all age, sex, and risk groups, with direct and immediate (&gt;95%) linkage of clients from testing to </w:t>
            </w:r>
            <w:r w:rsidR="66AFD148" w:rsidRPr="006F6126">
              <w:rPr>
                <w:rFonts w:ascii="Arial" w:eastAsia="Calibri" w:hAnsi="Arial" w:cs="Arial"/>
                <w:sz w:val="20"/>
                <w:szCs w:val="20"/>
              </w:rPr>
              <w:t xml:space="preserve">uninterrupted </w:t>
            </w:r>
            <w:r w:rsidRPr="006F6126">
              <w:rPr>
                <w:rFonts w:ascii="Arial" w:eastAsia="Calibri" w:hAnsi="Arial" w:cs="Arial"/>
                <w:sz w:val="20"/>
                <w:szCs w:val="20"/>
              </w:rPr>
              <w:t>treatment across age, sex, and risk groups.</w:t>
            </w:r>
            <w:r w:rsidRPr="006F6126">
              <w:rPr>
                <w:rFonts w:ascii="Arial" w:eastAsia="Calibri" w:hAnsi="Arial" w:cs="Arial"/>
                <w:sz w:val="20"/>
                <w:szCs w:val="20"/>
                <w:vertAlign w:val="superscript"/>
              </w:rPr>
              <w:footnoteReference w:id="2"/>
            </w:r>
            <w:r w:rsidRPr="006F6126">
              <w:rPr>
                <w:rFonts w:ascii="Arial" w:eastAsia="Calibri" w:hAnsi="Arial" w:cs="Arial"/>
                <w:sz w:val="20"/>
                <w:szCs w:val="20"/>
              </w:rPr>
              <w:t xml:space="preserve"> </w:t>
            </w:r>
          </w:p>
        </w:tc>
        <w:tc>
          <w:tcPr>
            <w:tcW w:w="1203" w:type="pct"/>
          </w:tcPr>
          <w:p w14:paraId="4A8AE114" w14:textId="7244F995" w:rsidR="00333FA2" w:rsidRPr="006F6126" w:rsidRDefault="2FD23684" w:rsidP="5264A9C6">
            <w:pPr>
              <w:rPr>
                <w:rFonts w:ascii="Arial" w:eastAsia="Calibri" w:hAnsi="Arial" w:cs="Arial"/>
                <w:sz w:val="20"/>
                <w:szCs w:val="20"/>
              </w:rPr>
            </w:pPr>
            <w:r w:rsidRPr="006F6126">
              <w:rPr>
                <w:rFonts w:ascii="Arial" w:eastAsia="Calibri" w:hAnsi="Arial" w:cs="Arial"/>
                <w:sz w:val="20"/>
                <w:szCs w:val="20"/>
              </w:rPr>
              <w:t>S_02_</w:t>
            </w:r>
            <w:proofErr w:type="gramStart"/>
            <w:r w:rsidR="00324B83" w:rsidRPr="006F6126">
              <w:rPr>
                <w:rFonts w:ascii="Arial" w:eastAsia="Calibri" w:hAnsi="Arial" w:cs="Arial"/>
                <w:sz w:val="20"/>
                <w:szCs w:val="20"/>
              </w:rPr>
              <w:t>0</w:t>
            </w:r>
            <w:r w:rsidR="00333FA2" w:rsidRPr="006F6126">
              <w:rPr>
                <w:rFonts w:ascii="Arial" w:eastAsia="Calibri" w:hAnsi="Arial" w:cs="Arial"/>
                <w:sz w:val="20"/>
                <w:szCs w:val="20"/>
              </w:rPr>
              <w:t>3</w:t>
            </w:r>
            <w:r w:rsidR="000C659E" w:rsidRPr="006F6126">
              <w:rPr>
                <w:rFonts w:ascii="Arial" w:eastAsia="Calibri" w:hAnsi="Arial" w:cs="Arial"/>
                <w:sz w:val="20"/>
                <w:szCs w:val="20"/>
              </w:rPr>
              <w:t>,</w:t>
            </w:r>
            <w:r w:rsidR="29EFD242" w:rsidRPr="006F6126">
              <w:rPr>
                <w:rFonts w:ascii="Arial" w:eastAsia="Calibri" w:hAnsi="Arial" w:cs="Arial"/>
                <w:sz w:val="20"/>
                <w:szCs w:val="20"/>
              </w:rPr>
              <w:t xml:space="preserve"> </w:t>
            </w:r>
            <w:r w:rsidR="000C659E" w:rsidRPr="006F6126">
              <w:rPr>
                <w:rFonts w:ascii="Arial" w:eastAsia="Calibri" w:hAnsi="Arial" w:cs="Arial"/>
                <w:sz w:val="20"/>
                <w:szCs w:val="20"/>
              </w:rPr>
              <w:t xml:space="preserve"> </w:t>
            </w:r>
            <w:r w:rsidR="00333FA2" w:rsidRPr="006F6126">
              <w:rPr>
                <w:rFonts w:ascii="Arial" w:eastAsia="Calibri" w:hAnsi="Arial" w:cs="Arial"/>
                <w:sz w:val="20"/>
                <w:szCs w:val="20"/>
              </w:rPr>
              <w:t>S</w:t>
            </w:r>
            <w:proofErr w:type="gramEnd"/>
            <w:r w:rsidR="00333FA2" w:rsidRPr="006F6126">
              <w:rPr>
                <w:rFonts w:ascii="Arial" w:eastAsia="Calibri" w:hAnsi="Arial" w:cs="Arial"/>
                <w:sz w:val="20"/>
                <w:szCs w:val="20"/>
              </w:rPr>
              <w:t>_03_</w:t>
            </w:r>
            <w:r w:rsidR="006F6126" w:rsidRPr="006F6126">
              <w:rPr>
                <w:rFonts w:ascii="Arial" w:eastAsia="Calibri" w:hAnsi="Arial" w:cs="Arial"/>
                <w:sz w:val="20"/>
                <w:szCs w:val="20"/>
              </w:rPr>
              <w:t>10,</w:t>
            </w:r>
            <w:r w:rsidR="7D6812DE" w:rsidRPr="006F6126">
              <w:rPr>
                <w:rFonts w:ascii="Arial" w:eastAsia="Calibri" w:hAnsi="Arial" w:cs="Arial"/>
                <w:sz w:val="20"/>
                <w:szCs w:val="20"/>
              </w:rPr>
              <w:t xml:space="preserve"> </w:t>
            </w:r>
            <w:r w:rsidR="00983E75" w:rsidRPr="006F6126">
              <w:rPr>
                <w:rFonts w:ascii="Arial" w:eastAsia="Calibri" w:hAnsi="Arial" w:cs="Arial"/>
                <w:sz w:val="20"/>
                <w:szCs w:val="20"/>
              </w:rPr>
              <w:t>S_02_33</w:t>
            </w:r>
          </w:p>
          <w:p w14:paraId="7543CDDD" w14:textId="453D94CA" w:rsidR="00A9439A" w:rsidRPr="006F6126" w:rsidRDefault="00A9439A" w:rsidP="002862D6">
            <w:pPr>
              <w:rPr>
                <w:rFonts w:ascii="Arial" w:eastAsia="Calibri" w:hAnsi="Arial" w:cs="Arial"/>
                <w:bCs/>
                <w:sz w:val="20"/>
                <w:szCs w:val="20"/>
              </w:rPr>
            </w:pPr>
          </w:p>
          <w:p w14:paraId="6F21701F" w14:textId="6D70C3F0" w:rsidR="00333FA2" w:rsidRPr="006F6126" w:rsidRDefault="00333FA2" w:rsidP="5264A9C6">
            <w:pPr>
              <w:rPr>
                <w:rFonts w:ascii="Arial" w:eastAsia="Calibri" w:hAnsi="Arial" w:cs="Arial"/>
                <w:sz w:val="20"/>
                <w:szCs w:val="20"/>
              </w:rPr>
            </w:pPr>
          </w:p>
        </w:tc>
        <w:tc>
          <w:tcPr>
            <w:tcW w:w="1266" w:type="pct"/>
          </w:tcPr>
          <w:p w14:paraId="063F4FC3" w14:textId="7879AA2C" w:rsidR="00CB3876" w:rsidRPr="0040797C" w:rsidRDefault="005F44F8" w:rsidP="002862D6">
            <w:pPr>
              <w:rPr>
                <w:rFonts w:ascii="Arial" w:eastAsia="Calibri" w:hAnsi="Arial" w:cs="Arial"/>
                <w:bCs/>
                <w:sz w:val="20"/>
                <w:szCs w:val="20"/>
              </w:rPr>
            </w:pPr>
            <w:r w:rsidRPr="0040797C">
              <w:rPr>
                <w:rFonts w:ascii="Arial" w:eastAsia="Calibri" w:hAnsi="Arial" w:cs="Arial"/>
                <w:bCs/>
                <w:sz w:val="20"/>
                <w:szCs w:val="20"/>
              </w:rPr>
              <w:t xml:space="preserve">HTS_TST, </w:t>
            </w:r>
            <w:r w:rsidRPr="0040797C">
              <w:rPr>
                <w:rFonts w:ascii="Arial" w:eastAsia="Calibri" w:hAnsi="Arial" w:cs="Arial"/>
                <w:bCs/>
                <w:iCs/>
                <w:sz w:val="20"/>
                <w:szCs w:val="20"/>
              </w:rPr>
              <w:t xml:space="preserve">HTS_TST_POS, </w:t>
            </w:r>
            <w:r w:rsidRPr="0040797C">
              <w:rPr>
                <w:rFonts w:ascii="Arial" w:eastAsia="Calibri" w:hAnsi="Arial" w:cs="Arial"/>
                <w:bCs/>
                <w:sz w:val="20"/>
                <w:szCs w:val="20"/>
              </w:rPr>
              <w:t xml:space="preserve">TX_NEW, </w:t>
            </w:r>
          </w:p>
          <w:p w14:paraId="2B3B833A" w14:textId="6E824D85" w:rsidR="00CB3876" w:rsidRPr="0040797C" w:rsidRDefault="006D7D6F" w:rsidP="002862D6">
            <w:pPr>
              <w:rPr>
                <w:rFonts w:ascii="Arial" w:eastAsia="Calibri" w:hAnsi="Arial" w:cs="Arial"/>
                <w:bCs/>
                <w:sz w:val="20"/>
                <w:szCs w:val="20"/>
              </w:rPr>
            </w:pPr>
            <w:r w:rsidRPr="0040797C">
              <w:rPr>
                <w:rFonts w:ascii="Arial" w:eastAsia="Calibri" w:hAnsi="Arial" w:cs="Arial"/>
                <w:bCs/>
                <w:sz w:val="20"/>
                <w:szCs w:val="20"/>
              </w:rPr>
              <w:t xml:space="preserve">PMTCT-EID, PMTCT-HEI_POS, </w:t>
            </w:r>
            <w:r w:rsidR="00CB3876" w:rsidRPr="0040797C">
              <w:rPr>
                <w:rFonts w:ascii="Arial" w:eastAsia="Calibri" w:hAnsi="Arial" w:cs="Arial"/>
                <w:bCs/>
                <w:sz w:val="20"/>
                <w:szCs w:val="20"/>
              </w:rPr>
              <w:t>PMTCT_FO</w:t>
            </w:r>
          </w:p>
          <w:p w14:paraId="18BF284C" w14:textId="17E4EB1E" w:rsidR="00CB3876" w:rsidRPr="0040797C" w:rsidRDefault="006D7D6F" w:rsidP="002862D6">
            <w:pPr>
              <w:rPr>
                <w:rFonts w:ascii="Arial" w:eastAsia="Calibri" w:hAnsi="Arial" w:cs="Arial"/>
                <w:bCs/>
                <w:sz w:val="20"/>
                <w:szCs w:val="20"/>
              </w:rPr>
            </w:pPr>
            <w:r w:rsidRPr="0040797C">
              <w:rPr>
                <w:rFonts w:ascii="Arial" w:eastAsia="Calibri" w:hAnsi="Arial" w:cs="Arial"/>
                <w:bCs/>
                <w:sz w:val="20"/>
                <w:szCs w:val="20"/>
              </w:rPr>
              <w:t>PMTCT_STAT</w:t>
            </w:r>
            <w:r w:rsidR="00CB3876" w:rsidRPr="0040797C">
              <w:rPr>
                <w:rFonts w:ascii="Arial" w:eastAsia="Calibri" w:hAnsi="Arial" w:cs="Arial"/>
                <w:bCs/>
                <w:sz w:val="20"/>
                <w:szCs w:val="20"/>
              </w:rPr>
              <w:t xml:space="preserve">, </w:t>
            </w:r>
            <w:r w:rsidRPr="0040797C">
              <w:rPr>
                <w:rFonts w:ascii="Arial" w:eastAsia="Calibri" w:hAnsi="Arial" w:cs="Arial"/>
                <w:bCs/>
                <w:sz w:val="20"/>
                <w:szCs w:val="20"/>
              </w:rPr>
              <w:t>PMTCT_STAT_POS</w:t>
            </w:r>
            <w:r w:rsidR="00CB3876" w:rsidRPr="0040797C">
              <w:rPr>
                <w:rFonts w:ascii="Arial" w:eastAsia="Calibri" w:hAnsi="Arial" w:cs="Arial"/>
                <w:bCs/>
                <w:sz w:val="20"/>
                <w:szCs w:val="20"/>
              </w:rPr>
              <w:t>, PMTCT_ART</w:t>
            </w:r>
          </w:p>
          <w:p w14:paraId="3B2DA0DA" w14:textId="166E18EE" w:rsidR="00333FA2" w:rsidRPr="0040797C" w:rsidRDefault="0023255E" w:rsidP="002862D6">
            <w:pPr>
              <w:rPr>
                <w:rFonts w:ascii="Arial" w:eastAsia="Calibri" w:hAnsi="Arial" w:cs="Arial"/>
                <w:bCs/>
                <w:sz w:val="20"/>
                <w:szCs w:val="20"/>
              </w:rPr>
            </w:pPr>
            <w:r w:rsidRPr="0040797C">
              <w:rPr>
                <w:rFonts w:ascii="Arial" w:eastAsia="Calibri" w:hAnsi="Arial" w:cs="Arial"/>
                <w:bCs/>
                <w:sz w:val="20"/>
                <w:szCs w:val="20"/>
              </w:rPr>
              <w:t>OVC_HIVSTAT</w:t>
            </w:r>
          </w:p>
        </w:tc>
      </w:tr>
      <w:tr w:rsidR="00333FA2" w:rsidRPr="0040797C" w14:paraId="05CCC6BD" w14:textId="6080A5A2" w:rsidTr="09009BBF">
        <w:trPr>
          <w:trHeight w:val="449"/>
        </w:trPr>
        <w:tc>
          <w:tcPr>
            <w:tcW w:w="220" w:type="pct"/>
            <w:vMerge/>
          </w:tcPr>
          <w:p w14:paraId="2D26D95C" w14:textId="77777777" w:rsidR="00333FA2" w:rsidRPr="0040797C" w:rsidRDefault="00333FA2" w:rsidP="005F2318">
            <w:pPr>
              <w:rPr>
                <w:rFonts w:ascii="Arial" w:eastAsia="Calibri" w:hAnsi="Arial" w:cs="Arial"/>
                <w:b/>
                <w:sz w:val="20"/>
                <w:szCs w:val="20"/>
                <w:u w:val="single"/>
              </w:rPr>
            </w:pPr>
          </w:p>
        </w:tc>
        <w:tc>
          <w:tcPr>
            <w:tcW w:w="2311" w:type="pct"/>
          </w:tcPr>
          <w:p w14:paraId="36FF7616" w14:textId="77777777" w:rsidR="00333FA2" w:rsidRPr="00AF00C7" w:rsidRDefault="3DB296C6" w:rsidP="00AF00C7">
            <w:pPr>
              <w:numPr>
                <w:ilvl w:val="0"/>
                <w:numId w:val="1"/>
              </w:numPr>
              <w:ind w:left="288"/>
              <w:rPr>
                <w:rFonts w:asciiTheme="minorHAnsi" w:eastAsiaTheme="minorEastAsia" w:hAnsiTheme="minorHAnsi" w:cstheme="minorBidi"/>
                <w:color w:val="000000" w:themeColor="text1"/>
                <w:szCs w:val="28"/>
              </w:rPr>
            </w:pPr>
            <w:r w:rsidRPr="046133CA">
              <w:rPr>
                <w:rFonts w:ascii="Arial" w:eastAsia="Calibri" w:hAnsi="Arial" w:cs="Arial"/>
                <w:sz w:val="20"/>
                <w:szCs w:val="20"/>
              </w:rPr>
              <w:t>Rapid optimization of ART by offering TLD to all PLHIV weighing &gt;30 kg (includ</w:t>
            </w:r>
            <w:r w:rsidRPr="00AF00C7">
              <w:rPr>
                <w:rFonts w:ascii="Arial" w:eastAsia="Calibri" w:hAnsi="Arial" w:cs="Arial"/>
                <w:sz w:val="20"/>
                <w:szCs w:val="20"/>
              </w:rPr>
              <w:t>ing adolescents and women of childbearing potential), transition to other DTG-based regimens for children who are &gt;4 weeks of age and weigh &gt;3 kg, and removal of all NVP- and EFV-based ART regimens.</w:t>
            </w:r>
          </w:p>
          <w:p w14:paraId="466D586B" w14:textId="197BA1EB" w:rsidR="00AF00C7" w:rsidRPr="0040797C" w:rsidRDefault="00AF00C7" w:rsidP="00AF00C7">
            <w:pPr>
              <w:ind w:left="288"/>
              <w:rPr>
                <w:rFonts w:asciiTheme="minorHAnsi" w:eastAsiaTheme="minorEastAsia" w:hAnsiTheme="minorHAnsi" w:cstheme="minorBidi"/>
                <w:color w:val="000000" w:themeColor="text1"/>
                <w:szCs w:val="28"/>
              </w:rPr>
            </w:pPr>
          </w:p>
        </w:tc>
        <w:tc>
          <w:tcPr>
            <w:tcW w:w="1203" w:type="pct"/>
          </w:tcPr>
          <w:p w14:paraId="59077000" w14:textId="7B9556BB" w:rsidR="00333FA2" w:rsidRPr="00983E75" w:rsidRDefault="00983E75" w:rsidP="5264A9C6">
            <w:pPr>
              <w:rPr>
                <w:rFonts w:ascii="Arial" w:eastAsia="Calibri" w:hAnsi="Arial" w:cs="Arial"/>
                <w:sz w:val="20"/>
                <w:szCs w:val="20"/>
              </w:rPr>
            </w:pPr>
            <w:r w:rsidRPr="5264A9C6">
              <w:rPr>
                <w:rFonts w:ascii="Arial" w:eastAsia="Calibri" w:hAnsi="Arial" w:cs="Arial"/>
                <w:sz w:val="20"/>
                <w:szCs w:val="20"/>
              </w:rPr>
              <w:t>S_02_34</w:t>
            </w:r>
          </w:p>
        </w:tc>
        <w:tc>
          <w:tcPr>
            <w:tcW w:w="1266" w:type="pct"/>
          </w:tcPr>
          <w:p w14:paraId="649D849C" w14:textId="13E3A89D" w:rsidR="001A4938" w:rsidRPr="0040797C" w:rsidRDefault="006D7D6F" w:rsidP="000A7E69">
            <w:pPr>
              <w:rPr>
                <w:rFonts w:ascii="Arial" w:eastAsia="Calibri" w:hAnsi="Arial" w:cs="Arial"/>
                <w:bCs/>
                <w:iCs/>
                <w:sz w:val="20"/>
                <w:szCs w:val="20"/>
              </w:rPr>
            </w:pPr>
            <w:r w:rsidRPr="0040797C">
              <w:rPr>
                <w:rFonts w:ascii="Arial" w:eastAsia="Calibri" w:hAnsi="Arial" w:cs="Arial"/>
                <w:bCs/>
                <w:iCs/>
                <w:sz w:val="20"/>
                <w:szCs w:val="20"/>
              </w:rPr>
              <w:t>SC_AR</w:t>
            </w:r>
            <w:r w:rsidR="00B36189" w:rsidRPr="0040797C">
              <w:rPr>
                <w:rFonts w:ascii="Arial" w:eastAsia="Calibri" w:hAnsi="Arial" w:cs="Arial"/>
                <w:bCs/>
                <w:iCs/>
                <w:sz w:val="20"/>
                <w:szCs w:val="20"/>
              </w:rPr>
              <w:t>VDISP</w:t>
            </w:r>
          </w:p>
          <w:p w14:paraId="425F1AE8" w14:textId="5CB71AF3" w:rsidR="00333FA2" w:rsidRPr="0040797C" w:rsidRDefault="006D7D6F" w:rsidP="000A7E69">
            <w:pPr>
              <w:rPr>
                <w:rFonts w:ascii="Arial" w:eastAsia="Calibri" w:hAnsi="Arial" w:cs="Arial"/>
                <w:bCs/>
                <w:iCs/>
                <w:sz w:val="20"/>
                <w:szCs w:val="20"/>
              </w:rPr>
            </w:pPr>
            <w:r w:rsidRPr="0040797C">
              <w:rPr>
                <w:rFonts w:ascii="Arial" w:eastAsia="Calibri" w:hAnsi="Arial" w:cs="Arial"/>
                <w:bCs/>
                <w:iCs/>
                <w:sz w:val="20"/>
                <w:szCs w:val="20"/>
              </w:rPr>
              <w:t>SC_CURR</w:t>
            </w:r>
          </w:p>
        </w:tc>
      </w:tr>
      <w:tr w:rsidR="00333FA2" w:rsidRPr="0040797C" w14:paraId="106D6E7D" w14:textId="55981511" w:rsidTr="09009BBF">
        <w:trPr>
          <w:trHeight w:val="494"/>
        </w:trPr>
        <w:tc>
          <w:tcPr>
            <w:tcW w:w="220" w:type="pct"/>
            <w:vMerge/>
          </w:tcPr>
          <w:p w14:paraId="1BF0E694" w14:textId="77777777" w:rsidR="00333FA2" w:rsidRPr="0040797C" w:rsidRDefault="00333FA2" w:rsidP="005F2318">
            <w:pPr>
              <w:rPr>
                <w:rFonts w:ascii="Arial" w:eastAsia="Calibri" w:hAnsi="Arial" w:cs="Arial"/>
                <w:b/>
                <w:sz w:val="20"/>
                <w:szCs w:val="20"/>
                <w:u w:val="single"/>
              </w:rPr>
            </w:pPr>
          </w:p>
        </w:tc>
        <w:tc>
          <w:tcPr>
            <w:tcW w:w="2311" w:type="pct"/>
          </w:tcPr>
          <w:p w14:paraId="7D081523" w14:textId="77777777" w:rsidR="00333FA2" w:rsidRDefault="00AF00C7" w:rsidP="00AF00C7">
            <w:pPr>
              <w:numPr>
                <w:ilvl w:val="0"/>
                <w:numId w:val="1"/>
              </w:numPr>
              <w:ind w:left="331"/>
              <w:rPr>
                <w:rFonts w:ascii="Arial" w:eastAsia="Calibri" w:hAnsi="Arial" w:cs="Arial"/>
                <w:sz w:val="20"/>
                <w:szCs w:val="20"/>
              </w:rPr>
            </w:pPr>
            <w:r w:rsidRPr="00AF00C7">
              <w:rPr>
                <w:rFonts w:ascii="Arial" w:eastAsia="Calibri" w:hAnsi="Arial" w:cs="Arial"/>
                <w:sz w:val="20"/>
                <w:szCs w:val="20"/>
              </w:rPr>
              <w:t>Adoption and implementation of differentiated service delivery models for all clients with HIV, including six-month multi-month dispensing (MMD), decentralized drug distribution (DDD), and services designed to improve identification and ART coverage and continuity for different demographic and risk groups.</w:t>
            </w:r>
          </w:p>
          <w:p w14:paraId="03CA6BCC" w14:textId="03736576" w:rsidR="00AF00C7" w:rsidRPr="0040797C" w:rsidRDefault="00AF00C7" w:rsidP="00AF00C7">
            <w:pPr>
              <w:ind w:left="288"/>
              <w:rPr>
                <w:rFonts w:ascii="Arial" w:eastAsia="Calibri" w:hAnsi="Arial" w:cs="Arial"/>
                <w:sz w:val="20"/>
                <w:szCs w:val="20"/>
              </w:rPr>
            </w:pPr>
          </w:p>
        </w:tc>
        <w:tc>
          <w:tcPr>
            <w:tcW w:w="1203" w:type="pct"/>
          </w:tcPr>
          <w:p w14:paraId="6ECEF6DF" w14:textId="5412C8C6" w:rsidR="00AF00C7" w:rsidRPr="00AF00C7" w:rsidRDefault="00AF00C7" w:rsidP="00AF00C7">
            <w:pPr>
              <w:rPr>
                <w:rFonts w:ascii="Arial" w:eastAsia="Calibri" w:hAnsi="Arial" w:cs="Arial"/>
                <w:sz w:val="20"/>
                <w:szCs w:val="20"/>
              </w:rPr>
            </w:pPr>
            <w:r w:rsidRPr="00AF00C7">
              <w:rPr>
                <w:rFonts w:ascii="Arial" w:eastAsia="Calibri" w:hAnsi="Arial" w:cs="Arial"/>
                <w:sz w:val="20"/>
                <w:szCs w:val="20"/>
              </w:rPr>
              <w:t>S_02_</w:t>
            </w:r>
            <w:r w:rsidR="006411C4">
              <w:rPr>
                <w:rFonts w:ascii="Arial" w:eastAsia="Calibri" w:hAnsi="Arial" w:cs="Arial"/>
                <w:sz w:val="20"/>
                <w:szCs w:val="20"/>
              </w:rPr>
              <w:t>0</w:t>
            </w:r>
            <w:r w:rsidRPr="00AF00C7">
              <w:rPr>
                <w:rFonts w:ascii="Arial" w:eastAsia="Calibri" w:hAnsi="Arial" w:cs="Arial"/>
                <w:sz w:val="20"/>
                <w:szCs w:val="20"/>
              </w:rPr>
              <w:t xml:space="preserve">6, </w:t>
            </w:r>
            <w:r>
              <w:rPr>
                <w:rFonts w:ascii="Arial" w:eastAsia="Calibri" w:hAnsi="Arial" w:cs="Arial"/>
                <w:sz w:val="20"/>
                <w:szCs w:val="20"/>
              </w:rPr>
              <w:t xml:space="preserve">S_02_24, S_03_13, </w:t>
            </w:r>
            <w:r w:rsidRPr="00AF00C7">
              <w:rPr>
                <w:rFonts w:ascii="Arial" w:eastAsia="Calibri" w:hAnsi="Arial" w:cs="Arial"/>
                <w:sz w:val="20"/>
                <w:szCs w:val="20"/>
              </w:rPr>
              <w:t xml:space="preserve">S_04_5 </w:t>
            </w:r>
          </w:p>
          <w:p w14:paraId="07963526" w14:textId="089CEBAC" w:rsidR="00D010B0" w:rsidRPr="0040797C" w:rsidRDefault="00AF00C7" w:rsidP="00AF00C7">
            <w:pPr>
              <w:rPr>
                <w:rFonts w:ascii="Arial" w:eastAsia="Calibri" w:hAnsi="Arial" w:cs="Arial"/>
                <w:sz w:val="20"/>
                <w:szCs w:val="20"/>
              </w:rPr>
            </w:pPr>
            <w:r w:rsidRPr="00AF00C7">
              <w:rPr>
                <w:rFonts w:ascii="Arial" w:eastAsia="Calibri" w:hAnsi="Arial" w:cs="Arial"/>
                <w:sz w:val="20"/>
                <w:szCs w:val="20"/>
              </w:rPr>
              <w:t>S_02_</w:t>
            </w:r>
            <w:r>
              <w:rPr>
                <w:rFonts w:ascii="Arial" w:eastAsia="Calibri" w:hAnsi="Arial" w:cs="Arial"/>
                <w:sz w:val="20"/>
                <w:szCs w:val="20"/>
              </w:rPr>
              <w:t>0</w:t>
            </w:r>
            <w:r w:rsidRPr="00AF00C7">
              <w:rPr>
                <w:rFonts w:ascii="Arial" w:eastAsia="Calibri" w:hAnsi="Arial" w:cs="Arial"/>
                <w:sz w:val="20"/>
                <w:szCs w:val="20"/>
              </w:rPr>
              <w:t xml:space="preserve">2, </w:t>
            </w:r>
            <w:r>
              <w:rPr>
                <w:rFonts w:ascii="Arial" w:eastAsia="Calibri" w:hAnsi="Arial" w:cs="Arial"/>
                <w:sz w:val="20"/>
                <w:szCs w:val="20"/>
              </w:rPr>
              <w:t>S_02_</w:t>
            </w:r>
            <w:r w:rsidRPr="00AF00C7">
              <w:rPr>
                <w:rFonts w:ascii="Arial" w:eastAsia="Calibri" w:hAnsi="Arial" w:cs="Arial"/>
                <w:sz w:val="20"/>
                <w:szCs w:val="20"/>
              </w:rPr>
              <w:t>19</w:t>
            </w:r>
            <w:r>
              <w:rPr>
                <w:rFonts w:ascii="Arial" w:eastAsia="Calibri" w:hAnsi="Arial" w:cs="Arial"/>
                <w:sz w:val="20"/>
                <w:szCs w:val="20"/>
              </w:rPr>
              <w:t xml:space="preserve">, </w:t>
            </w:r>
            <w:r w:rsidRPr="00AF00C7">
              <w:rPr>
                <w:rFonts w:ascii="Arial" w:eastAsia="Calibri" w:hAnsi="Arial" w:cs="Arial"/>
                <w:sz w:val="20"/>
                <w:szCs w:val="20"/>
              </w:rPr>
              <w:t>S_03_</w:t>
            </w:r>
            <w:r>
              <w:rPr>
                <w:rFonts w:ascii="Arial" w:eastAsia="Calibri" w:hAnsi="Arial" w:cs="Arial"/>
                <w:sz w:val="20"/>
                <w:szCs w:val="20"/>
              </w:rPr>
              <w:t>0</w:t>
            </w:r>
            <w:r w:rsidRPr="00AF00C7">
              <w:rPr>
                <w:rFonts w:ascii="Arial" w:eastAsia="Calibri" w:hAnsi="Arial" w:cs="Arial"/>
                <w:sz w:val="20"/>
                <w:szCs w:val="20"/>
              </w:rPr>
              <w:t>9</w:t>
            </w:r>
            <w:r>
              <w:rPr>
                <w:rFonts w:ascii="Arial" w:eastAsia="Calibri" w:hAnsi="Arial" w:cs="Arial"/>
                <w:sz w:val="20"/>
                <w:szCs w:val="20"/>
              </w:rPr>
              <w:t xml:space="preserve">, </w:t>
            </w:r>
            <w:r w:rsidRPr="00AF00C7">
              <w:rPr>
                <w:rFonts w:ascii="Arial" w:eastAsia="Calibri" w:hAnsi="Arial" w:cs="Arial"/>
                <w:sz w:val="20"/>
                <w:szCs w:val="20"/>
              </w:rPr>
              <w:t>S_04_</w:t>
            </w:r>
            <w:r>
              <w:rPr>
                <w:rFonts w:ascii="Arial" w:eastAsia="Calibri" w:hAnsi="Arial" w:cs="Arial"/>
                <w:sz w:val="20"/>
                <w:szCs w:val="20"/>
              </w:rPr>
              <w:t>0</w:t>
            </w:r>
            <w:r w:rsidRPr="00AF00C7">
              <w:rPr>
                <w:rFonts w:ascii="Arial" w:eastAsia="Calibri" w:hAnsi="Arial" w:cs="Arial"/>
                <w:sz w:val="20"/>
                <w:szCs w:val="20"/>
              </w:rPr>
              <w:t>2</w:t>
            </w:r>
          </w:p>
        </w:tc>
        <w:tc>
          <w:tcPr>
            <w:tcW w:w="1266" w:type="pct"/>
          </w:tcPr>
          <w:p w14:paraId="6A0F14C0" w14:textId="3529BB86" w:rsidR="00CB35A5" w:rsidRDefault="00424A59" w:rsidP="00CB35A5">
            <w:pPr>
              <w:rPr>
                <w:rFonts w:ascii="Arial" w:eastAsia="Calibri" w:hAnsi="Arial" w:cs="Arial"/>
                <w:sz w:val="20"/>
                <w:szCs w:val="20"/>
              </w:rPr>
            </w:pPr>
            <w:r w:rsidRPr="0040797C">
              <w:rPr>
                <w:rFonts w:ascii="Arial" w:eastAsia="Calibri" w:hAnsi="Arial" w:cs="Arial"/>
                <w:bCs/>
                <w:sz w:val="20"/>
                <w:szCs w:val="20"/>
              </w:rPr>
              <w:t xml:space="preserve">MMD: </w:t>
            </w:r>
            <w:r w:rsidR="00CB35A5" w:rsidRPr="0040797C">
              <w:rPr>
                <w:rFonts w:ascii="Arial" w:eastAsia="Calibri" w:hAnsi="Arial" w:cs="Arial"/>
                <w:sz w:val="20"/>
                <w:szCs w:val="20"/>
              </w:rPr>
              <w:t>TX_CURR</w:t>
            </w:r>
          </w:p>
          <w:p w14:paraId="624FD107" w14:textId="7F6F607D" w:rsidR="00A4100D" w:rsidRPr="0040797C" w:rsidRDefault="00A4100D" w:rsidP="00A4100D">
            <w:pPr>
              <w:rPr>
                <w:rFonts w:ascii="Arial" w:eastAsia="Calibri" w:hAnsi="Arial" w:cs="Arial"/>
                <w:sz w:val="20"/>
                <w:szCs w:val="20"/>
              </w:rPr>
            </w:pPr>
            <w:r w:rsidRPr="09D23BF6">
              <w:rPr>
                <w:rFonts w:ascii="Arial" w:eastAsia="Calibri" w:hAnsi="Arial" w:cs="Arial"/>
                <w:sz w:val="20"/>
                <w:szCs w:val="20"/>
              </w:rPr>
              <w:t>TX_ML_I</w:t>
            </w:r>
            <w:r w:rsidR="086D4FCF" w:rsidRPr="09D23BF6">
              <w:rPr>
                <w:rFonts w:ascii="Arial" w:eastAsia="Calibri" w:hAnsi="Arial" w:cs="Arial"/>
                <w:sz w:val="20"/>
                <w:szCs w:val="20"/>
              </w:rPr>
              <w:t>I</w:t>
            </w:r>
            <w:r w:rsidRPr="09D23BF6">
              <w:rPr>
                <w:rFonts w:ascii="Arial" w:eastAsia="Calibri" w:hAnsi="Arial" w:cs="Arial"/>
                <w:sz w:val="20"/>
                <w:szCs w:val="20"/>
              </w:rPr>
              <w:t>T, TX_RTT</w:t>
            </w:r>
          </w:p>
          <w:p w14:paraId="466CFE66" w14:textId="20D3FB01" w:rsidR="002872B8" w:rsidRPr="0040797C" w:rsidRDefault="002872B8" w:rsidP="00A4100D">
            <w:pPr>
              <w:rPr>
                <w:rFonts w:ascii="Arial" w:eastAsia="Calibri" w:hAnsi="Arial" w:cs="Arial"/>
                <w:bCs/>
                <w:sz w:val="20"/>
                <w:szCs w:val="20"/>
              </w:rPr>
            </w:pPr>
          </w:p>
        </w:tc>
      </w:tr>
      <w:tr w:rsidR="00333FA2" w:rsidRPr="0040797C" w14:paraId="6C13BFB7" w14:textId="5E6864FF" w:rsidTr="09009BBF">
        <w:trPr>
          <w:trHeight w:val="476"/>
        </w:trPr>
        <w:tc>
          <w:tcPr>
            <w:tcW w:w="220" w:type="pct"/>
            <w:vMerge/>
          </w:tcPr>
          <w:p w14:paraId="51345F57" w14:textId="77777777" w:rsidR="00333FA2" w:rsidRPr="0040797C" w:rsidRDefault="00333FA2" w:rsidP="005F2318">
            <w:pPr>
              <w:rPr>
                <w:rFonts w:ascii="Arial" w:eastAsia="Calibri" w:hAnsi="Arial" w:cs="Arial"/>
                <w:b/>
                <w:sz w:val="20"/>
                <w:szCs w:val="20"/>
                <w:u w:val="single"/>
              </w:rPr>
            </w:pPr>
          </w:p>
        </w:tc>
        <w:tc>
          <w:tcPr>
            <w:tcW w:w="2311" w:type="pct"/>
            <w:shd w:val="clear" w:color="auto" w:fill="auto"/>
          </w:tcPr>
          <w:p w14:paraId="613A73B5" w14:textId="73DF7AEC" w:rsidR="00333FA2" w:rsidRPr="0040797C" w:rsidRDefault="00AF00C7" w:rsidP="00AF00C7">
            <w:pPr>
              <w:numPr>
                <w:ilvl w:val="0"/>
                <w:numId w:val="1"/>
              </w:numPr>
              <w:ind w:left="288"/>
              <w:rPr>
                <w:rFonts w:ascii="Arial" w:eastAsia="Calibri" w:hAnsi="Arial" w:cs="Arial"/>
                <w:sz w:val="20"/>
                <w:szCs w:val="20"/>
              </w:rPr>
            </w:pPr>
            <w:r w:rsidRPr="00AF00C7">
              <w:rPr>
                <w:rFonts w:ascii="Arial" w:eastAsia="Calibri" w:hAnsi="Arial" w:cs="Arial"/>
                <w:sz w:val="20"/>
                <w:szCs w:val="20"/>
              </w:rPr>
              <w:t>All eligible PLHIV, including children and adolescents, should complete TB preventive treatment (TPT), and cotrimoxazole, where indicated, must be fully integrated into the HIV clinical care package at no cost to the patient.</w:t>
            </w:r>
          </w:p>
        </w:tc>
        <w:tc>
          <w:tcPr>
            <w:tcW w:w="1203" w:type="pct"/>
          </w:tcPr>
          <w:p w14:paraId="63CCA8A1" w14:textId="3481C985" w:rsidR="00B5723A" w:rsidRPr="0040797C" w:rsidRDefault="00B5723A" w:rsidP="00B5723A">
            <w:pPr>
              <w:rPr>
                <w:rFonts w:ascii="Arial" w:eastAsia="Calibri" w:hAnsi="Arial" w:cs="Arial"/>
                <w:sz w:val="20"/>
                <w:szCs w:val="20"/>
              </w:rPr>
            </w:pPr>
            <w:r w:rsidRPr="5264A9C6">
              <w:rPr>
                <w:rFonts w:ascii="Arial" w:eastAsia="Calibri" w:hAnsi="Arial" w:cs="Arial"/>
                <w:sz w:val="20"/>
                <w:szCs w:val="20"/>
              </w:rPr>
              <w:t>S_</w:t>
            </w:r>
            <w:r w:rsidR="000C659E" w:rsidRPr="5264A9C6">
              <w:rPr>
                <w:rFonts w:ascii="Arial" w:eastAsia="Calibri" w:hAnsi="Arial" w:cs="Arial"/>
                <w:sz w:val="20"/>
                <w:szCs w:val="20"/>
              </w:rPr>
              <w:t>0</w:t>
            </w:r>
            <w:r w:rsidRPr="5264A9C6">
              <w:rPr>
                <w:rFonts w:ascii="Arial" w:eastAsia="Calibri" w:hAnsi="Arial" w:cs="Arial"/>
                <w:sz w:val="20"/>
                <w:szCs w:val="20"/>
              </w:rPr>
              <w:t xml:space="preserve">2_10, </w:t>
            </w:r>
            <w:r w:rsidR="000C659E" w:rsidRPr="5264A9C6">
              <w:rPr>
                <w:rFonts w:ascii="Arial" w:eastAsia="Calibri" w:hAnsi="Arial" w:cs="Arial"/>
                <w:sz w:val="20"/>
                <w:szCs w:val="20"/>
              </w:rPr>
              <w:t>S_02_</w:t>
            </w:r>
            <w:r w:rsidRPr="5264A9C6">
              <w:rPr>
                <w:rFonts w:ascii="Arial" w:eastAsia="Calibri" w:hAnsi="Arial" w:cs="Arial"/>
                <w:sz w:val="20"/>
                <w:szCs w:val="20"/>
              </w:rPr>
              <w:t xml:space="preserve">11, </w:t>
            </w:r>
            <w:r w:rsidR="000C659E" w:rsidRPr="5264A9C6">
              <w:rPr>
                <w:rFonts w:ascii="Arial" w:eastAsia="Calibri" w:hAnsi="Arial" w:cs="Arial"/>
                <w:sz w:val="20"/>
                <w:szCs w:val="20"/>
              </w:rPr>
              <w:t>S_02_</w:t>
            </w:r>
            <w:r w:rsidRPr="5264A9C6">
              <w:rPr>
                <w:rFonts w:ascii="Arial" w:eastAsia="Calibri" w:hAnsi="Arial" w:cs="Arial"/>
                <w:sz w:val="20"/>
                <w:szCs w:val="20"/>
              </w:rPr>
              <w:t>27</w:t>
            </w:r>
            <w:r w:rsidR="000C659E" w:rsidRPr="5264A9C6">
              <w:rPr>
                <w:rFonts w:ascii="Arial" w:eastAsia="Calibri" w:hAnsi="Arial" w:cs="Arial"/>
                <w:sz w:val="20"/>
                <w:szCs w:val="20"/>
              </w:rPr>
              <w:t>, S_02_</w:t>
            </w:r>
            <w:r w:rsidRPr="5264A9C6">
              <w:rPr>
                <w:rFonts w:ascii="Arial" w:eastAsia="Calibri" w:hAnsi="Arial" w:cs="Arial"/>
                <w:sz w:val="20"/>
                <w:szCs w:val="20"/>
              </w:rPr>
              <w:t>28</w:t>
            </w:r>
          </w:p>
          <w:p w14:paraId="3D6E0AB8" w14:textId="554E3BD7" w:rsidR="00B5723A" w:rsidRPr="0040797C" w:rsidRDefault="00B5723A" w:rsidP="00B5723A">
            <w:pPr>
              <w:rPr>
                <w:rFonts w:ascii="Arial" w:eastAsia="Calibri" w:hAnsi="Arial" w:cs="Arial"/>
                <w:sz w:val="20"/>
                <w:szCs w:val="20"/>
              </w:rPr>
            </w:pPr>
            <w:r w:rsidRPr="5264A9C6">
              <w:rPr>
                <w:rFonts w:ascii="Arial" w:eastAsia="Calibri" w:hAnsi="Arial" w:cs="Arial"/>
                <w:sz w:val="20"/>
                <w:szCs w:val="20"/>
              </w:rPr>
              <w:t>S_</w:t>
            </w:r>
            <w:r w:rsidR="000C659E" w:rsidRPr="5264A9C6">
              <w:rPr>
                <w:rFonts w:ascii="Arial" w:eastAsia="Calibri" w:hAnsi="Arial" w:cs="Arial"/>
                <w:sz w:val="20"/>
                <w:szCs w:val="20"/>
              </w:rPr>
              <w:t>0</w:t>
            </w:r>
            <w:r w:rsidRPr="5264A9C6">
              <w:rPr>
                <w:rFonts w:ascii="Arial" w:eastAsia="Calibri" w:hAnsi="Arial" w:cs="Arial"/>
                <w:sz w:val="20"/>
                <w:szCs w:val="20"/>
              </w:rPr>
              <w:t xml:space="preserve">3_17, </w:t>
            </w:r>
            <w:r w:rsidR="000C659E" w:rsidRPr="5264A9C6">
              <w:rPr>
                <w:rFonts w:ascii="Arial" w:eastAsia="Calibri" w:hAnsi="Arial" w:cs="Arial"/>
                <w:sz w:val="20"/>
                <w:szCs w:val="20"/>
              </w:rPr>
              <w:t>S_03_1</w:t>
            </w:r>
            <w:r w:rsidRPr="5264A9C6">
              <w:rPr>
                <w:rFonts w:ascii="Arial" w:eastAsia="Calibri" w:hAnsi="Arial" w:cs="Arial"/>
                <w:sz w:val="20"/>
                <w:szCs w:val="20"/>
              </w:rPr>
              <w:t>8</w:t>
            </w:r>
          </w:p>
          <w:p w14:paraId="1BBF124B" w14:textId="48ED44C3" w:rsidR="00B5723A" w:rsidRDefault="00B5723A" w:rsidP="00B5723A">
            <w:pPr>
              <w:rPr>
                <w:rFonts w:ascii="Arial" w:eastAsia="Calibri" w:hAnsi="Arial" w:cs="Arial"/>
                <w:sz w:val="20"/>
                <w:szCs w:val="20"/>
              </w:rPr>
            </w:pPr>
            <w:r w:rsidRPr="5264A9C6">
              <w:rPr>
                <w:rFonts w:ascii="Arial" w:eastAsia="Calibri" w:hAnsi="Arial" w:cs="Arial"/>
                <w:sz w:val="20"/>
                <w:szCs w:val="20"/>
              </w:rPr>
              <w:t>S_</w:t>
            </w:r>
            <w:r w:rsidR="000C659E" w:rsidRPr="5264A9C6">
              <w:rPr>
                <w:rFonts w:ascii="Arial" w:eastAsia="Calibri" w:hAnsi="Arial" w:cs="Arial"/>
                <w:sz w:val="20"/>
                <w:szCs w:val="20"/>
              </w:rPr>
              <w:t>0</w:t>
            </w:r>
            <w:r w:rsidRPr="5264A9C6">
              <w:rPr>
                <w:rFonts w:ascii="Arial" w:eastAsia="Calibri" w:hAnsi="Arial" w:cs="Arial"/>
                <w:sz w:val="20"/>
                <w:szCs w:val="20"/>
              </w:rPr>
              <w:t>4_</w:t>
            </w:r>
            <w:r w:rsidR="00A9439A" w:rsidRPr="5264A9C6">
              <w:rPr>
                <w:rFonts w:ascii="Arial" w:eastAsia="Calibri" w:hAnsi="Arial" w:cs="Arial"/>
                <w:sz w:val="20"/>
                <w:szCs w:val="20"/>
              </w:rPr>
              <w:t xml:space="preserve">10, </w:t>
            </w:r>
            <w:r w:rsidR="000C659E" w:rsidRPr="5264A9C6">
              <w:rPr>
                <w:rFonts w:ascii="Arial" w:eastAsia="Calibri" w:hAnsi="Arial" w:cs="Arial"/>
                <w:sz w:val="20"/>
                <w:szCs w:val="20"/>
              </w:rPr>
              <w:t>S_04_</w:t>
            </w:r>
            <w:r w:rsidRPr="5264A9C6">
              <w:rPr>
                <w:rFonts w:ascii="Arial" w:eastAsia="Calibri" w:hAnsi="Arial" w:cs="Arial"/>
                <w:sz w:val="20"/>
                <w:szCs w:val="20"/>
              </w:rPr>
              <w:t>11</w:t>
            </w:r>
            <w:r w:rsidR="00A9439A" w:rsidRPr="5264A9C6">
              <w:rPr>
                <w:rFonts w:ascii="Arial" w:eastAsia="Calibri" w:hAnsi="Arial" w:cs="Arial"/>
                <w:sz w:val="20"/>
                <w:szCs w:val="20"/>
              </w:rPr>
              <w:t xml:space="preserve">, </w:t>
            </w:r>
            <w:r w:rsidR="000C659E" w:rsidRPr="5264A9C6">
              <w:rPr>
                <w:rFonts w:ascii="Arial" w:eastAsia="Calibri" w:hAnsi="Arial" w:cs="Arial"/>
                <w:sz w:val="20"/>
                <w:szCs w:val="20"/>
              </w:rPr>
              <w:t>S_04_</w:t>
            </w:r>
            <w:r w:rsidR="00A9439A" w:rsidRPr="5264A9C6">
              <w:rPr>
                <w:rFonts w:ascii="Arial" w:eastAsia="Calibri" w:hAnsi="Arial" w:cs="Arial"/>
                <w:sz w:val="20"/>
                <w:szCs w:val="20"/>
              </w:rPr>
              <w:t>18</w:t>
            </w:r>
            <w:r w:rsidR="000C659E" w:rsidRPr="5264A9C6">
              <w:rPr>
                <w:rFonts w:ascii="Arial" w:eastAsia="Calibri" w:hAnsi="Arial" w:cs="Arial"/>
                <w:sz w:val="20"/>
                <w:szCs w:val="20"/>
              </w:rPr>
              <w:t xml:space="preserve"> </w:t>
            </w:r>
          </w:p>
          <w:p w14:paraId="1A75BE33" w14:textId="64E78C57" w:rsidR="00BE02A9" w:rsidRPr="0040797C" w:rsidRDefault="00BE02A9" w:rsidP="00AF00C7">
            <w:pPr>
              <w:rPr>
                <w:rFonts w:ascii="Arial" w:eastAsia="Calibri" w:hAnsi="Arial" w:cs="Arial"/>
                <w:sz w:val="20"/>
                <w:szCs w:val="20"/>
              </w:rPr>
            </w:pPr>
          </w:p>
        </w:tc>
        <w:tc>
          <w:tcPr>
            <w:tcW w:w="1266" w:type="pct"/>
          </w:tcPr>
          <w:p w14:paraId="28C13963" w14:textId="77777777" w:rsidR="00333FA2" w:rsidRPr="0040797C" w:rsidRDefault="006D7D6F" w:rsidP="00DF7BDA">
            <w:pPr>
              <w:rPr>
                <w:rFonts w:ascii="Arial" w:eastAsia="Calibri" w:hAnsi="Arial" w:cs="Arial"/>
                <w:sz w:val="20"/>
                <w:szCs w:val="20"/>
              </w:rPr>
            </w:pPr>
            <w:r w:rsidRPr="0040797C">
              <w:rPr>
                <w:rFonts w:ascii="Arial" w:eastAsia="Calibri" w:hAnsi="Arial" w:cs="Arial"/>
                <w:sz w:val="20"/>
                <w:szCs w:val="20"/>
              </w:rPr>
              <w:t>TB_PREV</w:t>
            </w:r>
          </w:p>
          <w:p w14:paraId="65F77196" w14:textId="5C553541" w:rsidR="00CB35A5" w:rsidRPr="0040797C" w:rsidRDefault="00CB35A5" w:rsidP="00DF7BDA">
            <w:pPr>
              <w:rPr>
                <w:rFonts w:ascii="Arial" w:eastAsia="Calibri" w:hAnsi="Arial" w:cs="Arial"/>
                <w:sz w:val="20"/>
                <w:szCs w:val="20"/>
              </w:rPr>
            </w:pPr>
          </w:p>
        </w:tc>
      </w:tr>
      <w:tr w:rsidR="00333FA2" w:rsidRPr="0040797C" w14:paraId="1E124456" w14:textId="60CD775C" w:rsidTr="09009BBF">
        <w:trPr>
          <w:trHeight w:val="3572"/>
        </w:trPr>
        <w:tc>
          <w:tcPr>
            <w:tcW w:w="220" w:type="pct"/>
            <w:vMerge/>
          </w:tcPr>
          <w:p w14:paraId="4CAEB814" w14:textId="77777777" w:rsidR="00333FA2" w:rsidRPr="0040797C" w:rsidRDefault="00333FA2" w:rsidP="005F2318">
            <w:pPr>
              <w:rPr>
                <w:rFonts w:ascii="Arial" w:eastAsia="Calibri" w:hAnsi="Arial" w:cs="Arial"/>
                <w:b/>
                <w:sz w:val="20"/>
                <w:szCs w:val="20"/>
                <w:u w:val="single"/>
              </w:rPr>
            </w:pPr>
          </w:p>
        </w:tc>
        <w:tc>
          <w:tcPr>
            <w:tcW w:w="2311" w:type="pct"/>
          </w:tcPr>
          <w:p w14:paraId="65D8C6FB" w14:textId="7901BA69" w:rsidR="00333FA2" w:rsidRPr="00A070E0" w:rsidRDefault="00AF00C7" w:rsidP="00A070E0">
            <w:pPr>
              <w:pStyle w:val="ListParagraph"/>
              <w:numPr>
                <w:ilvl w:val="0"/>
                <w:numId w:val="1"/>
              </w:numPr>
              <w:ind w:left="241" w:hanging="270"/>
              <w:rPr>
                <w:rFonts w:ascii="Arial" w:eastAsia="Calibri" w:hAnsi="Arial" w:cs="Arial"/>
                <w:sz w:val="20"/>
                <w:szCs w:val="20"/>
              </w:rPr>
            </w:pPr>
            <w:r w:rsidRPr="00AF00C7">
              <w:rPr>
                <w:rFonts w:ascii="Arial" w:eastAsia="Calibri" w:hAnsi="Arial" w:cs="Arial"/>
                <w:sz w:val="20"/>
                <w:szCs w:val="20"/>
              </w:rPr>
              <w:t>Completion of Diagnostic Network Optimization activities for VL/EID, TB, and other coinfections, and ongoing monitoring to ensure reductions in morbidity and mortality across age, sex, and risk groups, including 100% access to EID and annual viral load testing and results delivered to caregiver within 4 weeks.</w:t>
            </w:r>
          </w:p>
        </w:tc>
        <w:tc>
          <w:tcPr>
            <w:tcW w:w="1203" w:type="pct"/>
          </w:tcPr>
          <w:p w14:paraId="0C0D229B" w14:textId="25123574" w:rsidR="00AF00C7" w:rsidRPr="00AF00C7" w:rsidRDefault="00AF00C7" w:rsidP="00AF00C7">
            <w:pPr>
              <w:rPr>
                <w:rFonts w:ascii="Arial" w:eastAsia="Calibri" w:hAnsi="Arial" w:cs="Arial"/>
                <w:sz w:val="20"/>
                <w:szCs w:val="20"/>
              </w:rPr>
            </w:pPr>
            <w:r w:rsidRPr="00AF00C7">
              <w:rPr>
                <w:rFonts w:ascii="Arial" w:eastAsia="Calibri" w:hAnsi="Arial" w:cs="Arial"/>
                <w:sz w:val="20"/>
                <w:szCs w:val="20"/>
              </w:rPr>
              <w:t>S_02_4, S_02_</w:t>
            </w:r>
            <w:r w:rsidR="00406936">
              <w:rPr>
                <w:rFonts w:ascii="Arial" w:eastAsia="Calibri" w:hAnsi="Arial" w:cs="Arial"/>
                <w:sz w:val="20"/>
                <w:szCs w:val="20"/>
              </w:rPr>
              <w:t>0</w:t>
            </w:r>
            <w:r w:rsidRPr="00AF00C7">
              <w:rPr>
                <w:rFonts w:ascii="Arial" w:eastAsia="Calibri" w:hAnsi="Arial" w:cs="Arial"/>
                <w:sz w:val="20"/>
                <w:szCs w:val="20"/>
              </w:rPr>
              <w:t>5, S_02_12, S_02_22, S_02_23, S_02_29</w:t>
            </w:r>
          </w:p>
          <w:p w14:paraId="6EF5422A" w14:textId="5E528838" w:rsidR="00AF00C7" w:rsidRPr="00AF00C7" w:rsidRDefault="00AF00C7" w:rsidP="00AF00C7">
            <w:pPr>
              <w:rPr>
                <w:rFonts w:ascii="Arial" w:eastAsia="Calibri" w:hAnsi="Arial" w:cs="Arial"/>
                <w:sz w:val="20"/>
                <w:szCs w:val="20"/>
              </w:rPr>
            </w:pPr>
            <w:r>
              <w:rPr>
                <w:rFonts w:ascii="Arial" w:eastAsia="Calibri" w:hAnsi="Arial" w:cs="Arial"/>
                <w:sz w:val="20"/>
                <w:szCs w:val="20"/>
              </w:rPr>
              <w:t>S_03_</w:t>
            </w:r>
            <w:r w:rsidRPr="00AF00C7">
              <w:rPr>
                <w:rFonts w:ascii="Arial" w:eastAsia="Calibri" w:hAnsi="Arial" w:cs="Arial"/>
                <w:sz w:val="20"/>
                <w:szCs w:val="20"/>
              </w:rPr>
              <w:t xml:space="preserve">11, </w:t>
            </w:r>
            <w:r>
              <w:rPr>
                <w:rFonts w:ascii="Arial" w:eastAsia="Calibri" w:hAnsi="Arial" w:cs="Arial"/>
                <w:sz w:val="20"/>
                <w:szCs w:val="20"/>
              </w:rPr>
              <w:t>S_03_</w:t>
            </w:r>
            <w:r w:rsidRPr="00AF00C7">
              <w:rPr>
                <w:rFonts w:ascii="Arial" w:eastAsia="Calibri" w:hAnsi="Arial" w:cs="Arial"/>
                <w:sz w:val="20"/>
                <w:szCs w:val="20"/>
              </w:rPr>
              <w:t xml:space="preserve">12, </w:t>
            </w:r>
            <w:r>
              <w:rPr>
                <w:rFonts w:ascii="Arial" w:eastAsia="Calibri" w:hAnsi="Arial" w:cs="Arial"/>
                <w:sz w:val="20"/>
                <w:szCs w:val="20"/>
              </w:rPr>
              <w:t>S_03_</w:t>
            </w:r>
            <w:r w:rsidRPr="00AF00C7">
              <w:rPr>
                <w:rFonts w:ascii="Arial" w:eastAsia="Calibri" w:hAnsi="Arial" w:cs="Arial"/>
                <w:sz w:val="20"/>
                <w:szCs w:val="20"/>
              </w:rPr>
              <w:t>19,</w:t>
            </w:r>
          </w:p>
          <w:p w14:paraId="485684B8" w14:textId="13604E81" w:rsidR="00333FA2" w:rsidRPr="000A1072" w:rsidRDefault="00AF00C7" w:rsidP="00AF00C7">
            <w:pPr>
              <w:rPr>
                <w:rFonts w:ascii="Arial" w:eastAsia="Calibri" w:hAnsi="Arial" w:cs="Arial"/>
                <w:sz w:val="20"/>
                <w:szCs w:val="20"/>
              </w:rPr>
            </w:pPr>
            <w:r w:rsidRPr="00AF00C7">
              <w:rPr>
                <w:rFonts w:ascii="Arial" w:eastAsia="Calibri" w:hAnsi="Arial" w:cs="Arial"/>
                <w:sz w:val="20"/>
                <w:szCs w:val="20"/>
              </w:rPr>
              <w:t>S_04_3, S_04_4, S_04_12, S_04_19</w:t>
            </w:r>
          </w:p>
        </w:tc>
        <w:tc>
          <w:tcPr>
            <w:tcW w:w="1266" w:type="pct"/>
          </w:tcPr>
          <w:p w14:paraId="6F6080A1" w14:textId="77777777" w:rsidR="00333FA2" w:rsidRPr="0040797C" w:rsidRDefault="0023255E" w:rsidP="00DF7BDA">
            <w:pPr>
              <w:rPr>
                <w:rFonts w:ascii="Arial" w:eastAsia="Calibri" w:hAnsi="Arial" w:cs="Arial"/>
                <w:sz w:val="20"/>
                <w:szCs w:val="20"/>
              </w:rPr>
            </w:pPr>
            <w:r w:rsidRPr="0040797C">
              <w:rPr>
                <w:rFonts w:ascii="Arial" w:eastAsia="Calibri" w:hAnsi="Arial" w:cs="Arial"/>
                <w:sz w:val="20"/>
                <w:szCs w:val="20"/>
              </w:rPr>
              <w:t>TX_PVLS</w:t>
            </w:r>
          </w:p>
          <w:p w14:paraId="537F4C79" w14:textId="77777777" w:rsidR="0023255E" w:rsidRPr="0040797C" w:rsidRDefault="0023255E" w:rsidP="00DF7BDA">
            <w:pPr>
              <w:rPr>
                <w:rFonts w:ascii="Arial" w:eastAsia="Calibri" w:hAnsi="Arial" w:cs="Arial"/>
                <w:sz w:val="20"/>
                <w:szCs w:val="20"/>
              </w:rPr>
            </w:pPr>
            <w:r w:rsidRPr="0040797C">
              <w:rPr>
                <w:rFonts w:ascii="Arial" w:eastAsia="Calibri" w:hAnsi="Arial" w:cs="Arial"/>
                <w:sz w:val="20"/>
                <w:szCs w:val="20"/>
              </w:rPr>
              <w:t>TX_CURR</w:t>
            </w:r>
          </w:p>
          <w:p w14:paraId="2D96DC77" w14:textId="413D2FCB" w:rsidR="0023255E" w:rsidRPr="0040797C" w:rsidRDefault="0023255E" w:rsidP="00DF7BDA">
            <w:pPr>
              <w:rPr>
                <w:rFonts w:ascii="Arial" w:eastAsia="Calibri" w:hAnsi="Arial" w:cs="Arial"/>
                <w:sz w:val="20"/>
                <w:szCs w:val="20"/>
              </w:rPr>
            </w:pPr>
            <w:r w:rsidRPr="0040797C">
              <w:rPr>
                <w:rFonts w:ascii="Arial" w:eastAsia="Calibri" w:hAnsi="Arial" w:cs="Arial"/>
                <w:sz w:val="20"/>
                <w:szCs w:val="20"/>
              </w:rPr>
              <w:t>PMTCT_EID</w:t>
            </w:r>
          </w:p>
          <w:p w14:paraId="635F4C25" w14:textId="67726FBE" w:rsidR="003B1993" w:rsidRPr="0040797C" w:rsidRDefault="003B1993" w:rsidP="00DF7BDA">
            <w:pPr>
              <w:rPr>
                <w:rFonts w:ascii="Arial" w:eastAsia="Calibri" w:hAnsi="Arial" w:cs="Arial"/>
                <w:sz w:val="20"/>
                <w:szCs w:val="20"/>
              </w:rPr>
            </w:pPr>
            <w:r w:rsidRPr="0040797C">
              <w:rPr>
                <w:rFonts w:ascii="Arial" w:eastAsia="Calibri" w:hAnsi="Arial" w:cs="Arial"/>
                <w:sz w:val="20"/>
                <w:szCs w:val="20"/>
              </w:rPr>
              <w:t>PMTCT_HEI_POS</w:t>
            </w:r>
          </w:p>
          <w:p w14:paraId="226B910F" w14:textId="77777777" w:rsidR="00B36189" w:rsidRPr="0040797C" w:rsidRDefault="00B36189" w:rsidP="00DF7BDA">
            <w:pPr>
              <w:rPr>
                <w:rFonts w:ascii="Arial" w:eastAsia="Calibri" w:hAnsi="Arial" w:cs="Arial"/>
                <w:iCs/>
                <w:sz w:val="20"/>
                <w:szCs w:val="20"/>
              </w:rPr>
            </w:pPr>
            <w:r w:rsidRPr="0040797C">
              <w:rPr>
                <w:rFonts w:ascii="Arial" w:eastAsia="Calibri" w:hAnsi="Arial" w:cs="Arial"/>
                <w:iCs/>
                <w:sz w:val="20"/>
                <w:szCs w:val="20"/>
              </w:rPr>
              <w:t>PMTCT_FO</w:t>
            </w:r>
          </w:p>
          <w:p w14:paraId="4568E587" w14:textId="785E1326" w:rsidR="00424A59" w:rsidRPr="0040797C" w:rsidRDefault="00424A59" w:rsidP="00DF7BDA">
            <w:pPr>
              <w:rPr>
                <w:rFonts w:ascii="Arial" w:eastAsia="Calibri" w:hAnsi="Arial" w:cs="Arial"/>
                <w:iCs/>
                <w:sz w:val="20"/>
                <w:szCs w:val="20"/>
              </w:rPr>
            </w:pPr>
            <w:r w:rsidRPr="0040797C">
              <w:rPr>
                <w:rFonts w:ascii="Arial" w:eastAsia="Calibri" w:hAnsi="Arial" w:cs="Arial"/>
                <w:iCs/>
                <w:sz w:val="20"/>
                <w:szCs w:val="20"/>
              </w:rPr>
              <w:t>TX_TB</w:t>
            </w:r>
          </w:p>
        </w:tc>
      </w:tr>
      <w:tr w:rsidR="00333FA2" w:rsidRPr="0040797C" w14:paraId="6C3311AD" w14:textId="643A5577" w:rsidTr="09009BBF">
        <w:trPr>
          <w:trHeight w:val="575"/>
        </w:trPr>
        <w:tc>
          <w:tcPr>
            <w:tcW w:w="220" w:type="pct"/>
            <w:shd w:val="clear" w:color="auto" w:fill="FFC000" w:themeFill="accent4"/>
            <w:textDirection w:val="btLr"/>
          </w:tcPr>
          <w:p w14:paraId="3DD46A7D" w14:textId="77777777" w:rsidR="00333FA2" w:rsidRPr="0040797C" w:rsidRDefault="00333FA2" w:rsidP="005F2318">
            <w:pPr>
              <w:jc w:val="center"/>
              <w:rPr>
                <w:rFonts w:ascii="Arial" w:eastAsia="Calibri" w:hAnsi="Arial" w:cs="Arial"/>
                <w:b/>
                <w:sz w:val="20"/>
                <w:szCs w:val="20"/>
              </w:rPr>
            </w:pPr>
            <w:r w:rsidRPr="0040797C">
              <w:rPr>
                <w:rFonts w:ascii="Arial" w:eastAsia="Calibri" w:hAnsi="Arial" w:cs="Arial"/>
                <w:b/>
                <w:sz w:val="20"/>
                <w:szCs w:val="20"/>
              </w:rPr>
              <w:t>Case Finding</w:t>
            </w:r>
          </w:p>
          <w:p w14:paraId="19060FAF" w14:textId="77777777" w:rsidR="00333FA2" w:rsidRPr="0040797C" w:rsidRDefault="00333FA2" w:rsidP="005F2318">
            <w:pPr>
              <w:jc w:val="center"/>
              <w:rPr>
                <w:rFonts w:ascii="Arial" w:eastAsia="Calibri" w:hAnsi="Arial" w:cs="Arial"/>
                <w:b/>
                <w:sz w:val="20"/>
                <w:szCs w:val="20"/>
                <w:u w:val="single"/>
              </w:rPr>
            </w:pPr>
          </w:p>
        </w:tc>
        <w:tc>
          <w:tcPr>
            <w:tcW w:w="2311" w:type="pct"/>
          </w:tcPr>
          <w:p w14:paraId="189470FD" w14:textId="4D3E67E8" w:rsidR="00333FA2" w:rsidRPr="0040797C" w:rsidRDefault="00AF00C7" w:rsidP="00A070E0">
            <w:pPr>
              <w:pStyle w:val="ListParagraph"/>
              <w:numPr>
                <w:ilvl w:val="0"/>
                <w:numId w:val="1"/>
              </w:numPr>
              <w:ind w:left="241" w:hanging="270"/>
              <w:rPr>
                <w:rFonts w:ascii="Arial" w:eastAsia="Calibri" w:hAnsi="Arial" w:cs="Arial"/>
                <w:sz w:val="20"/>
                <w:szCs w:val="20"/>
              </w:rPr>
            </w:pPr>
            <w:r w:rsidRPr="00AF00C7">
              <w:rPr>
                <w:rFonts w:ascii="Arial" w:eastAsia="Calibri" w:hAnsi="Arial" w:cs="Arial"/>
                <w:sz w:val="20"/>
                <w:szCs w:val="20"/>
              </w:rPr>
              <w:t>Scale-up of index testing and self-testing, ensuring consent procedures and confidentiality are protected and assessment of intimate partner violence (IPV) is established. All children under age 19 with an HIV positive biological parent should be offered testing for HIV.</w:t>
            </w:r>
          </w:p>
        </w:tc>
        <w:tc>
          <w:tcPr>
            <w:tcW w:w="1203" w:type="pct"/>
          </w:tcPr>
          <w:p w14:paraId="39DAA56B" w14:textId="7064F0E6" w:rsidR="00333FA2" w:rsidRPr="0040797C" w:rsidRDefault="00333FA2" w:rsidP="00DF7BDA">
            <w:pPr>
              <w:rPr>
                <w:rFonts w:ascii="Arial" w:eastAsia="Calibri" w:hAnsi="Arial" w:cs="Arial"/>
                <w:sz w:val="20"/>
                <w:szCs w:val="20"/>
              </w:rPr>
            </w:pPr>
            <w:r w:rsidRPr="5264A9C6">
              <w:rPr>
                <w:rFonts w:ascii="Arial" w:eastAsia="Calibri" w:hAnsi="Arial" w:cs="Arial"/>
                <w:sz w:val="20"/>
                <w:szCs w:val="20"/>
              </w:rPr>
              <w:t>S_02_08</w:t>
            </w:r>
            <w:r w:rsidR="009E2FA3" w:rsidRPr="5264A9C6">
              <w:rPr>
                <w:rFonts w:ascii="Arial" w:eastAsia="Calibri" w:hAnsi="Arial" w:cs="Arial"/>
                <w:sz w:val="20"/>
                <w:szCs w:val="20"/>
              </w:rPr>
              <w:t>,</w:t>
            </w:r>
            <w:r w:rsidRPr="5264A9C6">
              <w:rPr>
                <w:rFonts w:ascii="Arial" w:eastAsia="Calibri" w:hAnsi="Arial" w:cs="Arial"/>
                <w:sz w:val="20"/>
                <w:szCs w:val="20"/>
              </w:rPr>
              <w:t xml:space="preserve"> </w:t>
            </w:r>
            <w:r w:rsidR="00985730" w:rsidRPr="5264A9C6">
              <w:rPr>
                <w:rFonts w:ascii="Arial" w:eastAsia="Calibri" w:hAnsi="Arial" w:cs="Arial"/>
                <w:sz w:val="20"/>
                <w:szCs w:val="20"/>
              </w:rPr>
              <w:t>S_03_15,</w:t>
            </w:r>
          </w:p>
          <w:p w14:paraId="602227EB" w14:textId="7DBA9E54" w:rsidR="00F14799" w:rsidRDefault="00333FA2" w:rsidP="00A4100D">
            <w:pPr>
              <w:rPr>
                <w:rFonts w:ascii="Arial" w:eastAsia="Calibri" w:hAnsi="Arial" w:cs="Arial"/>
                <w:sz w:val="20"/>
                <w:szCs w:val="20"/>
              </w:rPr>
            </w:pPr>
            <w:r w:rsidRPr="7D3F25B9">
              <w:rPr>
                <w:rFonts w:ascii="Arial" w:eastAsia="Calibri" w:hAnsi="Arial" w:cs="Arial"/>
                <w:sz w:val="20"/>
                <w:szCs w:val="20"/>
              </w:rPr>
              <w:t>S_04_08</w:t>
            </w:r>
            <w:r w:rsidR="006411C4">
              <w:rPr>
                <w:rFonts w:ascii="Arial" w:eastAsia="Calibri" w:hAnsi="Arial" w:cs="Arial"/>
                <w:sz w:val="20"/>
                <w:szCs w:val="20"/>
              </w:rPr>
              <w:t xml:space="preserve">, </w:t>
            </w:r>
            <w:r w:rsidR="00CF1FAE" w:rsidRPr="5264A9C6">
              <w:rPr>
                <w:rFonts w:ascii="Arial" w:eastAsia="Calibri" w:hAnsi="Arial" w:cs="Arial"/>
                <w:sz w:val="20"/>
                <w:szCs w:val="20"/>
              </w:rPr>
              <w:t xml:space="preserve">S_07_07, </w:t>
            </w:r>
            <w:r w:rsidR="006411C4">
              <w:rPr>
                <w:rFonts w:ascii="Arial" w:eastAsia="Calibri" w:hAnsi="Arial" w:cs="Arial"/>
                <w:sz w:val="20"/>
                <w:szCs w:val="20"/>
              </w:rPr>
              <w:t>S_</w:t>
            </w:r>
            <w:r w:rsidRPr="5264A9C6">
              <w:rPr>
                <w:rFonts w:ascii="Arial" w:eastAsia="Calibri" w:hAnsi="Arial" w:cs="Arial"/>
                <w:sz w:val="20"/>
                <w:szCs w:val="20"/>
              </w:rPr>
              <w:t>07</w:t>
            </w:r>
            <w:r w:rsidR="00B5723A" w:rsidRPr="5264A9C6">
              <w:rPr>
                <w:rFonts w:ascii="Arial" w:eastAsia="Calibri" w:hAnsi="Arial" w:cs="Arial"/>
                <w:sz w:val="20"/>
                <w:szCs w:val="20"/>
              </w:rPr>
              <w:t xml:space="preserve">_08, </w:t>
            </w:r>
            <w:r w:rsidR="009E2FA3" w:rsidRPr="5264A9C6">
              <w:rPr>
                <w:rFonts w:ascii="Arial" w:eastAsia="Calibri" w:hAnsi="Arial" w:cs="Arial"/>
                <w:sz w:val="20"/>
                <w:szCs w:val="20"/>
              </w:rPr>
              <w:t>S_07_</w:t>
            </w:r>
            <w:r w:rsidR="00B5723A" w:rsidRPr="5264A9C6">
              <w:rPr>
                <w:rFonts w:ascii="Arial" w:eastAsia="Calibri" w:hAnsi="Arial" w:cs="Arial"/>
                <w:sz w:val="20"/>
                <w:szCs w:val="20"/>
              </w:rPr>
              <w:t xml:space="preserve">09, </w:t>
            </w:r>
            <w:r w:rsidR="009E2FA3" w:rsidRPr="5264A9C6">
              <w:rPr>
                <w:rFonts w:ascii="Arial" w:eastAsia="Calibri" w:hAnsi="Arial" w:cs="Arial"/>
                <w:sz w:val="20"/>
                <w:szCs w:val="20"/>
              </w:rPr>
              <w:t>S_07_</w:t>
            </w:r>
            <w:r w:rsidR="00B5723A" w:rsidRPr="5264A9C6">
              <w:rPr>
                <w:rFonts w:ascii="Arial" w:eastAsia="Calibri" w:hAnsi="Arial" w:cs="Arial"/>
                <w:sz w:val="20"/>
                <w:szCs w:val="20"/>
              </w:rPr>
              <w:t xml:space="preserve">10, </w:t>
            </w:r>
            <w:r w:rsidR="009E2FA3" w:rsidRPr="5264A9C6">
              <w:rPr>
                <w:rFonts w:ascii="Arial" w:eastAsia="Calibri" w:hAnsi="Arial" w:cs="Arial"/>
                <w:sz w:val="20"/>
                <w:szCs w:val="20"/>
              </w:rPr>
              <w:t>S_07_</w:t>
            </w:r>
            <w:r w:rsidR="00B5723A" w:rsidRPr="5264A9C6">
              <w:rPr>
                <w:rFonts w:ascii="Arial" w:eastAsia="Calibri" w:hAnsi="Arial" w:cs="Arial"/>
                <w:sz w:val="20"/>
                <w:szCs w:val="20"/>
              </w:rPr>
              <w:t>11</w:t>
            </w:r>
            <w:r w:rsidR="00985730" w:rsidRPr="5264A9C6">
              <w:rPr>
                <w:rFonts w:ascii="Arial" w:eastAsia="Calibri" w:hAnsi="Arial" w:cs="Arial"/>
                <w:sz w:val="20"/>
                <w:szCs w:val="20"/>
              </w:rPr>
              <w:t xml:space="preserve">, </w:t>
            </w:r>
            <w:r w:rsidR="00CF1FAE" w:rsidRPr="5264A9C6">
              <w:rPr>
                <w:rFonts w:ascii="Arial" w:eastAsia="Calibri" w:hAnsi="Arial" w:cs="Arial"/>
                <w:sz w:val="20"/>
                <w:szCs w:val="20"/>
              </w:rPr>
              <w:t>S_07_12</w:t>
            </w:r>
          </w:p>
          <w:p w14:paraId="11BF472C" w14:textId="345BFF53" w:rsidR="00BC5382" w:rsidRPr="0040797C" w:rsidRDefault="00BC5382" w:rsidP="00A4100D">
            <w:pPr>
              <w:rPr>
                <w:rFonts w:ascii="Arial" w:eastAsia="Calibri" w:hAnsi="Arial" w:cs="Arial"/>
                <w:sz w:val="20"/>
                <w:szCs w:val="20"/>
              </w:rPr>
            </w:pPr>
          </w:p>
        </w:tc>
        <w:tc>
          <w:tcPr>
            <w:tcW w:w="1266" w:type="pct"/>
          </w:tcPr>
          <w:p w14:paraId="1F5AC473" w14:textId="63440045" w:rsidR="0023255E" w:rsidRPr="0040797C" w:rsidRDefault="0023255E" w:rsidP="00DF7BDA">
            <w:pPr>
              <w:rPr>
                <w:rFonts w:ascii="Arial" w:eastAsia="Calibri" w:hAnsi="Arial" w:cs="Arial"/>
                <w:sz w:val="20"/>
                <w:szCs w:val="20"/>
              </w:rPr>
            </w:pPr>
            <w:r w:rsidRPr="0040797C">
              <w:rPr>
                <w:rFonts w:ascii="Arial" w:eastAsia="Calibri" w:hAnsi="Arial" w:cs="Arial"/>
                <w:sz w:val="20"/>
                <w:szCs w:val="20"/>
              </w:rPr>
              <w:t>HTS_INDEX</w:t>
            </w:r>
          </w:p>
          <w:p w14:paraId="19D52E2B" w14:textId="2DA49E54" w:rsidR="00333FA2" w:rsidRPr="0040797C" w:rsidRDefault="006D7D6F" w:rsidP="00DF7BDA">
            <w:pPr>
              <w:rPr>
                <w:rFonts w:ascii="Arial" w:eastAsia="Calibri" w:hAnsi="Arial" w:cs="Arial"/>
                <w:sz w:val="20"/>
                <w:szCs w:val="20"/>
              </w:rPr>
            </w:pPr>
            <w:r w:rsidRPr="0040797C">
              <w:rPr>
                <w:rFonts w:ascii="Arial" w:eastAsia="Calibri" w:hAnsi="Arial" w:cs="Arial"/>
                <w:sz w:val="20"/>
                <w:szCs w:val="20"/>
              </w:rPr>
              <w:t>HTS_SELF</w:t>
            </w:r>
          </w:p>
          <w:p w14:paraId="2CEDA5E0" w14:textId="2C35B7D9" w:rsidR="00B36189" w:rsidRPr="0040797C" w:rsidRDefault="00B36189" w:rsidP="00B36189">
            <w:pPr>
              <w:rPr>
                <w:rFonts w:ascii="Arial" w:eastAsia="Calibri" w:hAnsi="Arial" w:cs="Arial"/>
                <w:sz w:val="20"/>
                <w:szCs w:val="20"/>
              </w:rPr>
            </w:pPr>
          </w:p>
        </w:tc>
      </w:tr>
      <w:tr w:rsidR="00333FA2" w:rsidRPr="0040797C" w14:paraId="7BEB1502" w14:textId="34014E94" w:rsidTr="09009BBF">
        <w:trPr>
          <w:trHeight w:val="144"/>
        </w:trPr>
        <w:tc>
          <w:tcPr>
            <w:tcW w:w="220" w:type="pct"/>
            <w:vMerge w:val="restart"/>
            <w:shd w:val="clear" w:color="auto" w:fill="FFCC66"/>
            <w:textDirection w:val="btLr"/>
          </w:tcPr>
          <w:p w14:paraId="7E3A15DA" w14:textId="77777777" w:rsidR="00333FA2" w:rsidRPr="0040797C" w:rsidRDefault="00333FA2" w:rsidP="005F2318">
            <w:pPr>
              <w:jc w:val="center"/>
              <w:rPr>
                <w:rFonts w:ascii="Arial" w:eastAsia="Calibri" w:hAnsi="Arial" w:cs="Arial"/>
                <w:b/>
                <w:sz w:val="20"/>
                <w:szCs w:val="20"/>
              </w:rPr>
            </w:pPr>
            <w:r w:rsidRPr="0040797C">
              <w:rPr>
                <w:rFonts w:ascii="Arial" w:eastAsia="Calibri" w:hAnsi="Arial" w:cs="Arial"/>
                <w:b/>
                <w:sz w:val="20"/>
                <w:szCs w:val="20"/>
              </w:rPr>
              <w:lastRenderedPageBreak/>
              <w:t>Prevention and OVC</w:t>
            </w:r>
          </w:p>
          <w:p w14:paraId="15653DB7" w14:textId="77777777" w:rsidR="00333FA2" w:rsidRPr="0040797C" w:rsidRDefault="00333FA2" w:rsidP="005F2318">
            <w:pPr>
              <w:jc w:val="center"/>
              <w:rPr>
                <w:rFonts w:ascii="Arial" w:eastAsia="Calibri" w:hAnsi="Arial" w:cs="Arial"/>
                <w:b/>
                <w:sz w:val="20"/>
                <w:szCs w:val="20"/>
                <w:u w:val="single"/>
              </w:rPr>
            </w:pPr>
          </w:p>
        </w:tc>
        <w:tc>
          <w:tcPr>
            <w:tcW w:w="2311" w:type="pct"/>
          </w:tcPr>
          <w:p w14:paraId="67FD5026" w14:textId="77777777" w:rsidR="00333FA2" w:rsidRPr="0040797C" w:rsidRDefault="00333FA2" w:rsidP="00AF00C7">
            <w:pPr>
              <w:numPr>
                <w:ilvl w:val="0"/>
                <w:numId w:val="1"/>
              </w:numPr>
              <w:ind w:left="288"/>
              <w:rPr>
                <w:rFonts w:ascii="Arial" w:eastAsia="Calibri" w:hAnsi="Arial" w:cs="Arial"/>
                <w:sz w:val="20"/>
                <w:szCs w:val="20"/>
              </w:rPr>
            </w:pPr>
            <w:r w:rsidRPr="5B8B1A33">
              <w:rPr>
                <w:rFonts w:ascii="Arial" w:eastAsia="Calibri" w:hAnsi="Arial" w:cs="Arial"/>
                <w:sz w:val="20"/>
                <w:szCs w:val="20"/>
              </w:rPr>
              <w:t xml:space="preserve">Direct and immediate assessment for and offer of prevention services, including pre-exposure prophylaxis (PrEP), to HIV-negative clients found through testing in populations at elevated risk of HIV acquisition (PBFW and AGYW in high HIV-burden areas, high-risk HIV-negative partners of index cases, key populations and adult men </w:t>
            </w:r>
          </w:p>
          <w:p w14:paraId="7BF8A442" w14:textId="77777777" w:rsidR="00333FA2" w:rsidRPr="0040797C" w:rsidRDefault="00333FA2" w:rsidP="00624CBA">
            <w:pPr>
              <w:ind w:left="288"/>
              <w:rPr>
                <w:rFonts w:ascii="Arial" w:eastAsia="Calibri" w:hAnsi="Arial" w:cs="Arial"/>
                <w:sz w:val="20"/>
                <w:szCs w:val="20"/>
              </w:rPr>
            </w:pPr>
            <w:r w:rsidRPr="0040797C">
              <w:rPr>
                <w:rFonts w:ascii="Arial" w:eastAsia="Calibri" w:hAnsi="Arial" w:cs="Arial"/>
                <w:sz w:val="20"/>
                <w:szCs w:val="20"/>
              </w:rPr>
              <w:t>engaged in high-risk sex practices)</w:t>
            </w:r>
            <w:r w:rsidRPr="0040797C">
              <w:rPr>
                <w:rFonts w:ascii="Arial" w:eastAsia="Calibri" w:hAnsi="Arial" w:cs="Arial"/>
                <w:sz w:val="20"/>
                <w:szCs w:val="20"/>
                <w:vertAlign w:val="superscript"/>
              </w:rPr>
              <w:footnoteReference w:id="3"/>
            </w:r>
            <w:r w:rsidRPr="0040797C">
              <w:rPr>
                <w:rFonts w:ascii="Arial" w:eastAsia="Calibri" w:hAnsi="Arial" w:cs="Arial"/>
                <w:sz w:val="20"/>
                <w:szCs w:val="20"/>
              </w:rPr>
              <w:t xml:space="preserve"> </w:t>
            </w:r>
          </w:p>
        </w:tc>
        <w:tc>
          <w:tcPr>
            <w:tcW w:w="1203" w:type="pct"/>
          </w:tcPr>
          <w:p w14:paraId="2B6D76AF" w14:textId="6F1A4A0C" w:rsidR="00333FA2" w:rsidRPr="0040797C" w:rsidRDefault="00333FA2" w:rsidP="00DF7BDA">
            <w:pPr>
              <w:rPr>
                <w:rFonts w:ascii="Arial" w:eastAsia="Calibri" w:hAnsi="Arial" w:cs="Arial"/>
                <w:sz w:val="20"/>
                <w:szCs w:val="20"/>
              </w:rPr>
            </w:pPr>
            <w:r w:rsidRPr="09009BBF">
              <w:rPr>
                <w:rFonts w:ascii="Arial" w:eastAsia="Calibri" w:hAnsi="Arial" w:cs="Arial"/>
                <w:sz w:val="20"/>
                <w:szCs w:val="20"/>
              </w:rPr>
              <w:t>S_01_09,</w:t>
            </w:r>
          </w:p>
          <w:p w14:paraId="0CC26BBF" w14:textId="1B056CEF" w:rsidR="00333FA2" w:rsidRPr="0040797C" w:rsidRDefault="00275DFC" w:rsidP="5264A9C6">
            <w:pPr>
              <w:rPr>
                <w:rFonts w:ascii="Arial" w:eastAsia="Calibri" w:hAnsi="Arial" w:cs="Arial"/>
                <w:sz w:val="20"/>
                <w:szCs w:val="20"/>
              </w:rPr>
            </w:pPr>
            <w:r w:rsidRPr="5264A9C6">
              <w:rPr>
                <w:rFonts w:ascii="Arial" w:eastAsia="Calibri" w:hAnsi="Arial" w:cs="Arial"/>
                <w:sz w:val="20"/>
                <w:szCs w:val="20"/>
              </w:rPr>
              <w:t xml:space="preserve">S_03_07, </w:t>
            </w:r>
            <w:r w:rsidR="00A070E0">
              <w:rPr>
                <w:rFonts w:ascii="Arial" w:eastAsia="Calibri" w:hAnsi="Arial" w:cs="Arial"/>
                <w:sz w:val="20"/>
                <w:szCs w:val="20"/>
              </w:rPr>
              <w:t>S_07_13</w:t>
            </w:r>
          </w:p>
        </w:tc>
        <w:tc>
          <w:tcPr>
            <w:tcW w:w="1266" w:type="pct"/>
          </w:tcPr>
          <w:p w14:paraId="7E4582AB" w14:textId="77777777" w:rsidR="00333FA2" w:rsidRPr="0040797C" w:rsidRDefault="006D7D6F" w:rsidP="00DF7BDA">
            <w:pPr>
              <w:rPr>
                <w:rFonts w:ascii="Arial" w:eastAsia="Calibri" w:hAnsi="Arial" w:cs="Arial"/>
                <w:sz w:val="20"/>
                <w:szCs w:val="20"/>
              </w:rPr>
            </w:pPr>
            <w:r w:rsidRPr="0040797C">
              <w:rPr>
                <w:rFonts w:ascii="Arial" w:eastAsia="Calibri" w:hAnsi="Arial" w:cs="Arial"/>
                <w:sz w:val="20"/>
                <w:szCs w:val="20"/>
              </w:rPr>
              <w:t>PREP_NEW</w:t>
            </w:r>
          </w:p>
          <w:p w14:paraId="66D4E2FB" w14:textId="5E0E7313" w:rsidR="006D7D6F" w:rsidRPr="0040797C" w:rsidRDefault="006D7D6F" w:rsidP="00DF7BDA">
            <w:pPr>
              <w:rPr>
                <w:rFonts w:ascii="Arial" w:eastAsia="Calibri" w:hAnsi="Arial" w:cs="Arial"/>
                <w:sz w:val="20"/>
                <w:szCs w:val="20"/>
              </w:rPr>
            </w:pPr>
            <w:r w:rsidRPr="0040797C">
              <w:rPr>
                <w:rFonts w:ascii="Arial" w:eastAsia="Calibri" w:hAnsi="Arial" w:cs="Arial"/>
                <w:sz w:val="20"/>
                <w:szCs w:val="20"/>
              </w:rPr>
              <w:t>PREP_C</w:t>
            </w:r>
            <w:r w:rsidR="0023255E" w:rsidRPr="0040797C">
              <w:rPr>
                <w:rFonts w:ascii="Arial" w:eastAsia="Calibri" w:hAnsi="Arial" w:cs="Arial"/>
                <w:sz w:val="20"/>
                <w:szCs w:val="20"/>
              </w:rPr>
              <w:t>T</w:t>
            </w:r>
          </w:p>
          <w:p w14:paraId="636171D2" w14:textId="77777777" w:rsidR="006D7D6F" w:rsidRPr="0040797C" w:rsidRDefault="006D7D6F" w:rsidP="00DF7BDA">
            <w:pPr>
              <w:rPr>
                <w:rFonts w:ascii="Arial" w:eastAsia="Calibri" w:hAnsi="Arial" w:cs="Arial"/>
                <w:sz w:val="20"/>
                <w:szCs w:val="20"/>
              </w:rPr>
            </w:pPr>
            <w:r w:rsidRPr="0040797C">
              <w:rPr>
                <w:rFonts w:ascii="Arial" w:eastAsia="Calibri" w:hAnsi="Arial" w:cs="Arial"/>
                <w:sz w:val="20"/>
                <w:szCs w:val="20"/>
              </w:rPr>
              <w:t>AGYW_PREV</w:t>
            </w:r>
          </w:p>
          <w:p w14:paraId="714C71EF" w14:textId="77777777" w:rsidR="00B36189" w:rsidRPr="0040797C" w:rsidRDefault="00B36189" w:rsidP="00DF7BDA">
            <w:pPr>
              <w:rPr>
                <w:rFonts w:ascii="Arial" w:eastAsia="Calibri" w:hAnsi="Arial" w:cs="Arial"/>
                <w:sz w:val="20"/>
                <w:szCs w:val="20"/>
              </w:rPr>
            </w:pPr>
            <w:r w:rsidRPr="0040797C">
              <w:rPr>
                <w:rFonts w:ascii="Arial" w:eastAsia="Calibri" w:hAnsi="Arial" w:cs="Arial"/>
                <w:sz w:val="20"/>
                <w:szCs w:val="20"/>
              </w:rPr>
              <w:t>KP_PREV</w:t>
            </w:r>
          </w:p>
          <w:p w14:paraId="3D47FA04" w14:textId="0D4F4CCA" w:rsidR="00B36189" w:rsidRPr="0040797C" w:rsidRDefault="00B36189" w:rsidP="00DF7BDA">
            <w:pPr>
              <w:rPr>
                <w:rFonts w:ascii="Arial" w:eastAsia="Calibri" w:hAnsi="Arial" w:cs="Arial"/>
                <w:sz w:val="20"/>
                <w:szCs w:val="20"/>
              </w:rPr>
            </w:pPr>
            <w:r w:rsidRPr="0040797C">
              <w:rPr>
                <w:rFonts w:ascii="Arial" w:eastAsia="Calibri" w:hAnsi="Arial" w:cs="Arial"/>
                <w:sz w:val="20"/>
                <w:szCs w:val="20"/>
              </w:rPr>
              <w:t>PP_PREV</w:t>
            </w:r>
          </w:p>
          <w:p w14:paraId="31305331" w14:textId="6127572B" w:rsidR="00B36189" w:rsidRPr="0040797C" w:rsidRDefault="00B36189" w:rsidP="00DF7BDA">
            <w:pPr>
              <w:rPr>
                <w:rFonts w:ascii="Arial" w:eastAsia="Calibri" w:hAnsi="Arial" w:cs="Arial"/>
                <w:sz w:val="20"/>
                <w:szCs w:val="20"/>
              </w:rPr>
            </w:pPr>
          </w:p>
        </w:tc>
      </w:tr>
      <w:tr w:rsidR="00A070E0" w:rsidRPr="0040797C" w14:paraId="3036EA1E" w14:textId="25F446F5" w:rsidTr="09009BBF">
        <w:trPr>
          <w:trHeight w:val="2978"/>
        </w:trPr>
        <w:tc>
          <w:tcPr>
            <w:tcW w:w="220" w:type="pct"/>
            <w:vMerge/>
          </w:tcPr>
          <w:p w14:paraId="0491ECBC" w14:textId="77777777" w:rsidR="00A070E0" w:rsidRPr="0040797C" w:rsidRDefault="00A070E0" w:rsidP="00A070E0">
            <w:pPr>
              <w:rPr>
                <w:rFonts w:ascii="Arial" w:eastAsia="Calibri" w:hAnsi="Arial" w:cs="Arial"/>
                <w:b/>
                <w:sz w:val="20"/>
                <w:szCs w:val="20"/>
                <w:u w:val="single"/>
              </w:rPr>
            </w:pPr>
          </w:p>
        </w:tc>
        <w:tc>
          <w:tcPr>
            <w:tcW w:w="2311" w:type="pct"/>
          </w:tcPr>
          <w:p w14:paraId="6D339746" w14:textId="2C020A51" w:rsidR="00A070E0" w:rsidRPr="0040797C" w:rsidRDefault="00A070E0" w:rsidP="00A070E0">
            <w:pPr>
              <w:numPr>
                <w:ilvl w:val="0"/>
                <w:numId w:val="1"/>
              </w:numPr>
              <w:ind w:left="288"/>
              <w:rPr>
                <w:rFonts w:ascii="Arial" w:eastAsia="Calibri" w:hAnsi="Arial" w:cs="Arial"/>
                <w:sz w:val="20"/>
                <w:szCs w:val="20"/>
              </w:rPr>
            </w:pPr>
            <w:r w:rsidRPr="00A070E0">
              <w:rPr>
                <w:rFonts w:ascii="Arial" w:eastAsia="Calibri" w:hAnsi="Arial" w:cs="Arial"/>
                <w:sz w:val="20"/>
                <w:szCs w:val="20"/>
              </w:rPr>
              <w:t>Alignment of OVC packages of services and enrollment to provide comprehensive prevention and treatment services to OVC ages 0-17, with particular focus on 1) actively facilitating testing for all children at risk of HIV infection, 2) facilitating linkage to treatment and providing support and case management for vulnerable children and adolescents living with HIV, 3) reducing risk for adolescent girls in high HIV-burden areas and for 10-14 year-old girls and boys in regard to primary prevention of sexual violence and HIV.</w:t>
            </w:r>
          </w:p>
        </w:tc>
        <w:tc>
          <w:tcPr>
            <w:tcW w:w="1203" w:type="pct"/>
          </w:tcPr>
          <w:p w14:paraId="11D6A7F6" w14:textId="14E4DC30" w:rsidR="00A070E0" w:rsidRDefault="00A070E0" w:rsidP="00A070E0">
            <w:pPr>
              <w:rPr>
                <w:rFonts w:ascii="Arial" w:eastAsia="Calibri" w:hAnsi="Arial" w:cs="Arial"/>
                <w:sz w:val="20"/>
                <w:szCs w:val="20"/>
              </w:rPr>
            </w:pPr>
            <w:r w:rsidRPr="7D3F25B9">
              <w:rPr>
                <w:rFonts w:ascii="Arial" w:eastAsia="Calibri" w:hAnsi="Arial" w:cs="Arial"/>
                <w:sz w:val="20"/>
                <w:szCs w:val="20"/>
              </w:rPr>
              <w:t>S_06_04, S_06_07, S_06_08</w:t>
            </w:r>
          </w:p>
          <w:p w14:paraId="6CF95CD7" w14:textId="77777777" w:rsidR="00A070E0" w:rsidRDefault="00A070E0" w:rsidP="00A070E0">
            <w:pPr>
              <w:rPr>
                <w:rFonts w:ascii="Arial" w:eastAsia="Calibri" w:hAnsi="Arial" w:cs="Arial"/>
                <w:sz w:val="20"/>
                <w:szCs w:val="20"/>
              </w:rPr>
            </w:pPr>
          </w:p>
          <w:p w14:paraId="6F3F545C" w14:textId="164C62E3" w:rsidR="00A070E0" w:rsidRPr="00985730" w:rsidRDefault="00A070E0" w:rsidP="00A070E0">
            <w:pPr>
              <w:rPr>
                <w:rFonts w:ascii="Arial" w:eastAsia="Calibri" w:hAnsi="Arial" w:cs="Arial"/>
                <w:i/>
                <w:iCs/>
                <w:sz w:val="20"/>
                <w:szCs w:val="20"/>
              </w:rPr>
            </w:pPr>
          </w:p>
        </w:tc>
        <w:tc>
          <w:tcPr>
            <w:tcW w:w="1266" w:type="pct"/>
          </w:tcPr>
          <w:p w14:paraId="1AE008C4" w14:textId="758F9F82"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OVC_SERV</w:t>
            </w:r>
          </w:p>
          <w:p w14:paraId="6A433B84" w14:textId="29169E6B"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OVC_HIVSTAT</w:t>
            </w:r>
          </w:p>
          <w:p w14:paraId="63C83AEC" w14:textId="13895797"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AGYW_PREV</w:t>
            </w:r>
          </w:p>
          <w:p w14:paraId="4FED0151" w14:textId="77777777"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HTS_TST</w:t>
            </w:r>
          </w:p>
          <w:p w14:paraId="72B8BC5E" w14:textId="77777777"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HTS_TST_POS</w:t>
            </w:r>
          </w:p>
          <w:p w14:paraId="55E21341" w14:textId="77777777"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TX_NEW</w:t>
            </w:r>
          </w:p>
          <w:p w14:paraId="2752FBC6" w14:textId="52D74FA0" w:rsidR="00A070E0" w:rsidRPr="0040797C" w:rsidRDefault="00A070E0" w:rsidP="00A070E0">
            <w:pPr>
              <w:rPr>
                <w:rFonts w:ascii="Arial" w:eastAsia="Calibri" w:hAnsi="Arial" w:cs="Arial"/>
                <w:sz w:val="20"/>
                <w:szCs w:val="20"/>
              </w:rPr>
            </w:pPr>
          </w:p>
        </w:tc>
      </w:tr>
      <w:tr w:rsidR="00A070E0" w:rsidRPr="0040797C" w14:paraId="34F28D34" w14:textId="35919B72" w:rsidTr="09009BBF">
        <w:trPr>
          <w:trHeight w:val="467"/>
        </w:trPr>
        <w:tc>
          <w:tcPr>
            <w:tcW w:w="220" w:type="pct"/>
            <w:vMerge w:val="restart"/>
            <w:shd w:val="clear" w:color="auto" w:fill="FEDE68"/>
            <w:textDirection w:val="btLr"/>
          </w:tcPr>
          <w:p w14:paraId="45C05EEF" w14:textId="77777777" w:rsidR="00A070E0" w:rsidRPr="0040797C" w:rsidRDefault="00A070E0" w:rsidP="00A070E0">
            <w:pPr>
              <w:jc w:val="center"/>
              <w:rPr>
                <w:rFonts w:ascii="Arial" w:eastAsia="Calibri" w:hAnsi="Arial" w:cs="Arial"/>
                <w:b/>
                <w:sz w:val="20"/>
                <w:szCs w:val="20"/>
              </w:rPr>
            </w:pPr>
            <w:r w:rsidRPr="0040797C">
              <w:rPr>
                <w:rFonts w:ascii="Arial" w:eastAsia="Calibri" w:hAnsi="Arial" w:cs="Arial"/>
                <w:b/>
                <w:sz w:val="20"/>
                <w:szCs w:val="20"/>
              </w:rPr>
              <w:t>Policy &amp; Public Health Systems Support</w:t>
            </w:r>
          </w:p>
          <w:p w14:paraId="0006CF18" w14:textId="77777777" w:rsidR="00A070E0" w:rsidRPr="0040797C" w:rsidRDefault="00A070E0" w:rsidP="00A070E0">
            <w:pPr>
              <w:jc w:val="center"/>
              <w:rPr>
                <w:rFonts w:ascii="Arial" w:eastAsia="Calibri" w:hAnsi="Arial" w:cs="Arial"/>
                <w:b/>
                <w:sz w:val="20"/>
                <w:szCs w:val="20"/>
                <w:u w:val="single"/>
              </w:rPr>
            </w:pPr>
          </w:p>
        </w:tc>
        <w:tc>
          <w:tcPr>
            <w:tcW w:w="2311" w:type="pct"/>
          </w:tcPr>
          <w:p w14:paraId="5EC0798F" w14:textId="77777777" w:rsidR="00A070E0" w:rsidRDefault="00A070E0" w:rsidP="00A070E0">
            <w:pPr>
              <w:numPr>
                <w:ilvl w:val="0"/>
                <w:numId w:val="1"/>
              </w:numPr>
              <w:ind w:left="288"/>
              <w:rPr>
                <w:rFonts w:ascii="Arial" w:eastAsia="Calibri" w:hAnsi="Arial" w:cs="Arial"/>
                <w:sz w:val="20"/>
                <w:szCs w:val="20"/>
              </w:rPr>
            </w:pPr>
            <w:r w:rsidRPr="00A070E0">
              <w:rPr>
                <w:rFonts w:ascii="Arial" w:eastAsia="Calibri" w:hAnsi="Arial" w:cs="Arial"/>
                <w:sz w:val="20"/>
                <w:szCs w:val="20"/>
              </w:rPr>
              <w:t>In support of the targets set forth in the Global AIDS strategy and the commitments expressed in the 2021 political declaration, OUs demonstrate evidence of progress toward advancement of equity, reduction of stigma and discrimination, and promotion of human rights to improve HIV prevention and treatment outcomes for key populations, adolescent girls and young women, and other vulnerable groups.</w:t>
            </w:r>
            <w:r>
              <w:rPr>
                <w:rFonts w:ascii="Arial" w:eastAsia="Calibri" w:hAnsi="Arial" w:cs="Arial"/>
                <w:sz w:val="20"/>
                <w:szCs w:val="20"/>
              </w:rPr>
              <w:t xml:space="preserve"> </w:t>
            </w:r>
          </w:p>
          <w:p w14:paraId="20437E26" w14:textId="69A7A060" w:rsidR="00A070E0" w:rsidRPr="00A070E0" w:rsidRDefault="00A070E0" w:rsidP="00A070E0">
            <w:pPr>
              <w:ind w:left="288"/>
              <w:rPr>
                <w:rFonts w:ascii="Arial" w:eastAsia="Calibri" w:hAnsi="Arial" w:cs="Arial"/>
                <w:sz w:val="20"/>
                <w:szCs w:val="20"/>
              </w:rPr>
            </w:pPr>
          </w:p>
        </w:tc>
        <w:tc>
          <w:tcPr>
            <w:tcW w:w="1203" w:type="pct"/>
          </w:tcPr>
          <w:p w14:paraId="584B34A6" w14:textId="5DEBC20B" w:rsidR="00A070E0" w:rsidRPr="00983E75" w:rsidRDefault="00A070E0" w:rsidP="00A070E0">
            <w:pPr>
              <w:rPr>
                <w:rFonts w:ascii="Arial" w:eastAsia="Calibri" w:hAnsi="Arial" w:cs="Arial"/>
                <w:sz w:val="20"/>
                <w:szCs w:val="20"/>
              </w:rPr>
            </w:pPr>
            <w:r w:rsidRPr="00A070E0">
              <w:rPr>
                <w:rFonts w:ascii="Arial" w:eastAsia="Calibri" w:hAnsi="Arial" w:cs="Arial"/>
                <w:sz w:val="20"/>
                <w:szCs w:val="20"/>
              </w:rPr>
              <w:t>Most activity and monitoring at OU level</w:t>
            </w:r>
            <w:r>
              <w:rPr>
                <w:rFonts w:ascii="Arial" w:eastAsia="Calibri" w:hAnsi="Arial" w:cs="Arial"/>
                <w:sz w:val="20"/>
                <w:szCs w:val="20"/>
              </w:rPr>
              <w:t xml:space="preserve">; </w:t>
            </w:r>
            <w:r w:rsidRPr="00A070E0">
              <w:rPr>
                <w:rFonts w:ascii="Arial" w:eastAsia="Calibri" w:hAnsi="Arial" w:cs="Arial"/>
                <w:sz w:val="20"/>
                <w:szCs w:val="20"/>
              </w:rPr>
              <w:t>S_01_03 applies at site level;</w:t>
            </w:r>
          </w:p>
        </w:tc>
        <w:tc>
          <w:tcPr>
            <w:tcW w:w="1266" w:type="pct"/>
          </w:tcPr>
          <w:p w14:paraId="2E0526F4" w14:textId="5CCFFFCF"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NA</w:t>
            </w:r>
          </w:p>
        </w:tc>
      </w:tr>
      <w:tr w:rsidR="00A070E0" w:rsidRPr="0040797C" w14:paraId="1DDDFDD0" w14:textId="16B41D82" w:rsidTr="09009BBF">
        <w:trPr>
          <w:trHeight w:val="458"/>
        </w:trPr>
        <w:tc>
          <w:tcPr>
            <w:tcW w:w="220" w:type="pct"/>
            <w:vMerge/>
          </w:tcPr>
          <w:p w14:paraId="581FC574" w14:textId="77777777" w:rsidR="00A070E0" w:rsidRPr="0040797C" w:rsidRDefault="00A070E0" w:rsidP="00A070E0">
            <w:pPr>
              <w:rPr>
                <w:rFonts w:ascii="Arial" w:eastAsia="Calibri" w:hAnsi="Arial" w:cs="Arial"/>
                <w:b/>
                <w:sz w:val="20"/>
                <w:szCs w:val="20"/>
                <w:u w:val="single"/>
              </w:rPr>
            </w:pPr>
          </w:p>
        </w:tc>
        <w:tc>
          <w:tcPr>
            <w:tcW w:w="2311" w:type="pct"/>
          </w:tcPr>
          <w:p w14:paraId="72F18629" w14:textId="77777777" w:rsidR="00A070E0" w:rsidRDefault="00A070E0" w:rsidP="00A070E0">
            <w:pPr>
              <w:numPr>
                <w:ilvl w:val="0"/>
                <w:numId w:val="1"/>
              </w:numPr>
              <w:ind w:left="288"/>
              <w:rPr>
                <w:rFonts w:ascii="Arial" w:eastAsia="Calibri" w:hAnsi="Arial" w:cs="Arial"/>
                <w:sz w:val="20"/>
                <w:szCs w:val="20"/>
              </w:rPr>
            </w:pPr>
            <w:r w:rsidRPr="00A070E0">
              <w:rPr>
                <w:rFonts w:ascii="Arial" w:eastAsia="Calibri" w:hAnsi="Arial" w:cs="Arial"/>
                <w:sz w:val="20"/>
                <w:szCs w:val="20"/>
              </w:rPr>
              <w:t>Elimination of all formal and informal user fees in the public sector for access to all direct HIV services and medications, and related services, such as ANC, TB, cervical cancer, PrEP, and routine clinical services affecting access to HIV testing and treatment and prevention.</w:t>
            </w:r>
          </w:p>
          <w:p w14:paraId="55E6CA82" w14:textId="6CF7A13D" w:rsidR="00A070E0" w:rsidRPr="00A070E0" w:rsidRDefault="00A070E0" w:rsidP="00A070E0">
            <w:pPr>
              <w:ind w:left="288"/>
              <w:rPr>
                <w:rFonts w:ascii="Arial" w:eastAsia="Calibri" w:hAnsi="Arial" w:cs="Arial"/>
                <w:sz w:val="20"/>
                <w:szCs w:val="20"/>
              </w:rPr>
            </w:pPr>
          </w:p>
        </w:tc>
        <w:tc>
          <w:tcPr>
            <w:tcW w:w="1203" w:type="pct"/>
          </w:tcPr>
          <w:p w14:paraId="5E101544" w14:textId="7F108F60" w:rsidR="00A070E0" w:rsidRDefault="00A070E0" w:rsidP="00A070E0">
            <w:pPr>
              <w:rPr>
                <w:rFonts w:ascii="Arial" w:eastAsia="Calibri" w:hAnsi="Arial" w:cs="Arial"/>
                <w:sz w:val="20"/>
                <w:szCs w:val="20"/>
              </w:rPr>
            </w:pPr>
            <w:r w:rsidRPr="09009BBF">
              <w:rPr>
                <w:rFonts w:ascii="Arial" w:eastAsia="Calibri" w:hAnsi="Arial" w:cs="Arial"/>
                <w:sz w:val="20"/>
                <w:szCs w:val="20"/>
              </w:rPr>
              <w:t>S_01_31</w:t>
            </w:r>
          </w:p>
          <w:p w14:paraId="1A1B5638" w14:textId="49DA7D92" w:rsidR="00A070E0" w:rsidRPr="0040797C" w:rsidRDefault="00A070E0" w:rsidP="00A070E0">
            <w:pPr>
              <w:rPr>
                <w:rFonts w:ascii="Arial" w:eastAsia="Calibri" w:hAnsi="Arial" w:cs="Arial"/>
                <w:sz w:val="20"/>
                <w:szCs w:val="20"/>
              </w:rPr>
            </w:pPr>
            <w:r w:rsidRPr="5264A9C6">
              <w:rPr>
                <w:rFonts w:ascii="Arial" w:eastAsia="Calibri" w:hAnsi="Arial" w:cs="Arial"/>
                <w:sz w:val="20"/>
                <w:szCs w:val="20"/>
              </w:rPr>
              <w:t xml:space="preserve"> </w:t>
            </w:r>
          </w:p>
          <w:p w14:paraId="586210C6" w14:textId="77777777" w:rsidR="00A070E0" w:rsidRDefault="00A070E0" w:rsidP="00A070E0">
            <w:pPr>
              <w:rPr>
                <w:rFonts w:ascii="Arial" w:eastAsia="Calibri" w:hAnsi="Arial" w:cs="Arial"/>
                <w:sz w:val="20"/>
                <w:szCs w:val="20"/>
              </w:rPr>
            </w:pPr>
          </w:p>
          <w:p w14:paraId="11F3AF20" w14:textId="52E81BC7" w:rsidR="00A070E0" w:rsidRPr="0040797C" w:rsidRDefault="00A070E0" w:rsidP="00A070E0">
            <w:pPr>
              <w:rPr>
                <w:rFonts w:ascii="Arial" w:eastAsia="Calibri" w:hAnsi="Arial" w:cs="Arial"/>
                <w:sz w:val="20"/>
                <w:szCs w:val="20"/>
              </w:rPr>
            </w:pPr>
          </w:p>
        </w:tc>
        <w:tc>
          <w:tcPr>
            <w:tcW w:w="1266" w:type="pct"/>
          </w:tcPr>
          <w:p w14:paraId="47E226E3" w14:textId="63D79F74" w:rsidR="00A070E0" w:rsidRPr="0040797C" w:rsidRDefault="00A070E0" w:rsidP="00A070E0">
            <w:pPr>
              <w:rPr>
                <w:rFonts w:ascii="Arial" w:eastAsia="Calibri" w:hAnsi="Arial" w:cs="Arial"/>
                <w:iCs/>
                <w:sz w:val="20"/>
                <w:szCs w:val="20"/>
              </w:rPr>
            </w:pPr>
            <w:r>
              <w:rPr>
                <w:rFonts w:ascii="Arial" w:eastAsia="Calibri" w:hAnsi="Arial" w:cs="Arial"/>
                <w:iCs/>
                <w:sz w:val="20"/>
                <w:szCs w:val="20"/>
              </w:rPr>
              <w:t>NA</w:t>
            </w:r>
          </w:p>
          <w:p w14:paraId="16DCC6EA" w14:textId="16F1E5E5" w:rsidR="00A070E0" w:rsidRPr="0040797C" w:rsidRDefault="00A070E0" w:rsidP="00A070E0">
            <w:pPr>
              <w:rPr>
                <w:rFonts w:ascii="Arial" w:eastAsia="Calibri" w:hAnsi="Arial" w:cs="Arial"/>
                <w:sz w:val="20"/>
                <w:szCs w:val="20"/>
              </w:rPr>
            </w:pPr>
          </w:p>
        </w:tc>
      </w:tr>
      <w:tr w:rsidR="00A070E0" w:rsidRPr="0040797C" w14:paraId="356ED6F4" w14:textId="2EC7CBD0" w:rsidTr="09009BBF">
        <w:trPr>
          <w:trHeight w:val="1700"/>
        </w:trPr>
        <w:tc>
          <w:tcPr>
            <w:tcW w:w="220" w:type="pct"/>
            <w:vMerge/>
          </w:tcPr>
          <w:p w14:paraId="685EE170" w14:textId="77777777" w:rsidR="00A070E0" w:rsidRPr="0040797C" w:rsidRDefault="00A070E0" w:rsidP="00A070E0">
            <w:pPr>
              <w:rPr>
                <w:rFonts w:ascii="Arial" w:eastAsia="Calibri" w:hAnsi="Arial" w:cs="Arial"/>
                <w:b/>
                <w:sz w:val="20"/>
                <w:szCs w:val="20"/>
                <w:u w:val="single"/>
              </w:rPr>
            </w:pPr>
          </w:p>
        </w:tc>
        <w:tc>
          <w:tcPr>
            <w:tcW w:w="2311" w:type="pct"/>
          </w:tcPr>
          <w:p w14:paraId="5A74F8B3" w14:textId="77777777" w:rsidR="00A070E0" w:rsidRPr="00A070E0" w:rsidRDefault="00A070E0" w:rsidP="00A070E0">
            <w:pPr>
              <w:numPr>
                <w:ilvl w:val="0"/>
                <w:numId w:val="1"/>
              </w:numPr>
              <w:ind w:left="288"/>
              <w:rPr>
                <w:rFonts w:ascii="Arial" w:eastAsia="Calibri" w:hAnsi="Arial" w:cs="Arial"/>
                <w:sz w:val="20"/>
                <w:szCs w:val="20"/>
              </w:rPr>
            </w:pPr>
            <w:r w:rsidRPr="00A070E0">
              <w:rPr>
                <w:rFonts w:ascii="Arial" w:eastAsia="Calibri" w:hAnsi="Arial" w:cs="Arial"/>
                <w:sz w:val="20"/>
                <w:szCs w:val="20"/>
              </w:rPr>
              <w:t>OUs assure program and site standards, including infection prevention &amp; control interventions and site safety standards, are met by integrating effective Quality Assurance (QA) and Continuous Quality Improvement (CQI) practices into site and program management. QA/CQI is supported by IP work plans, Agency agreements, and national policy.</w:t>
            </w:r>
          </w:p>
          <w:p w14:paraId="1AFB6D77" w14:textId="1F214586" w:rsidR="00A070E0" w:rsidRPr="0040797C" w:rsidRDefault="00A070E0" w:rsidP="00A070E0">
            <w:pPr>
              <w:ind w:left="288"/>
              <w:rPr>
                <w:rFonts w:ascii="Arial" w:eastAsia="Calibri" w:hAnsi="Arial" w:cs="Arial"/>
                <w:sz w:val="20"/>
                <w:szCs w:val="20"/>
              </w:rPr>
            </w:pPr>
          </w:p>
        </w:tc>
        <w:tc>
          <w:tcPr>
            <w:tcW w:w="1203" w:type="pct"/>
          </w:tcPr>
          <w:p w14:paraId="3AA337A9" w14:textId="74F18566" w:rsidR="00A070E0" w:rsidRPr="006411C4" w:rsidRDefault="006411C4" w:rsidP="00A070E0">
            <w:pPr>
              <w:rPr>
                <w:rFonts w:ascii="Arial" w:eastAsia="Calibri" w:hAnsi="Arial" w:cs="Arial"/>
                <w:sz w:val="20"/>
                <w:szCs w:val="20"/>
              </w:rPr>
            </w:pPr>
            <w:r w:rsidRPr="47D522B4">
              <w:rPr>
                <w:rFonts w:ascii="Arial" w:eastAsia="Calibri" w:hAnsi="Arial" w:cs="Arial"/>
                <w:sz w:val="20"/>
                <w:szCs w:val="20"/>
              </w:rPr>
              <w:t xml:space="preserve">S_01_06, </w:t>
            </w:r>
            <w:r w:rsidR="00A070E0" w:rsidRPr="47D522B4">
              <w:rPr>
                <w:rFonts w:ascii="Arial" w:eastAsia="Calibri" w:hAnsi="Arial" w:cs="Arial"/>
                <w:sz w:val="20"/>
                <w:szCs w:val="20"/>
              </w:rPr>
              <w:t xml:space="preserve">S_01_19, S_01_ </w:t>
            </w:r>
            <w:r w:rsidRPr="47D522B4">
              <w:rPr>
                <w:rFonts w:ascii="Arial" w:eastAsia="Calibri" w:hAnsi="Arial" w:cs="Arial"/>
                <w:sz w:val="20"/>
                <w:szCs w:val="20"/>
              </w:rPr>
              <w:t xml:space="preserve">20, </w:t>
            </w:r>
            <w:r w:rsidR="00A070E0" w:rsidRPr="47D522B4">
              <w:rPr>
                <w:rFonts w:ascii="Arial" w:eastAsia="Calibri" w:hAnsi="Arial" w:cs="Arial"/>
                <w:sz w:val="20"/>
                <w:szCs w:val="20"/>
              </w:rPr>
              <w:t>S_01_ 27, S_01_</w:t>
            </w:r>
            <w:r w:rsidRPr="47D522B4">
              <w:rPr>
                <w:rFonts w:ascii="Arial" w:eastAsia="Calibri" w:hAnsi="Arial" w:cs="Arial"/>
                <w:sz w:val="20"/>
                <w:szCs w:val="20"/>
              </w:rPr>
              <w:t xml:space="preserve">28, </w:t>
            </w:r>
            <w:r w:rsidR="00A070E0" w:rsidRPr="47D522B4">
              <w:rPr>
                <w:rFonts w:ascii="Arial" w:eastAsia="Calibri" w:hAnsi="Arial" w:cs="Arial"/>
                <w:sz w:val="20"/>
                <w:szCs w:val="20"/>
              </w:rPr>
              <w:t>S_01_29, S_01_30</w:t>
            </w:r>
            <w:r w:rsidR="3465E735" w:rsidRPr="47D522B4">
              <w:rPr>
                <w:rFonts w:ascii="Arial" w:eastAsia="Calibri" w:hAnsi="Arial" w:cs="Arial"/>
                <w:sz w:val="20"/>
                <w:szCs w:val="20"/>
              </w:rPr>
              <w:t>, S_10_06, S_10_07</w:t>
            </w:r>
          </w:p>
        </w:tc>
        <w:tc>
          <w:tcPr>
            <w:tcW w:w="1266" w:type="pct"/>
          </w:tcPr>
          <w:p w14:paraId="53954FE2" w14:textId="77777777" w:rsidR="00A070E0" w:rsidRDefault="00A070E0" w:rsidP="00A070E0">
            <w:pPr>
              <w:spacing w:after="80" w:line="360" w:lineRule="auto"/>
              <w:rPr>
                <w:rFonts w:ascii="Arial" w:eastAsia="Arial" w:hAnsi="Arial" w:cs="Arial"/>
                <w:color w:val="000000" w:themeColor="text1"/>
              </w:rPr>
            </w:pPr>
            <w:r w:rsidRPr="44738A55">
              <w:rPr>
                <w:rFonts w:ascii="Arial" w:eastAsia="Arial" w:hAnsi="Arial" w:cs="Arial"/>
                <w:color w:val="000000" w:themeColor="text1"/>
                <w:sz w:val="22"/>
                <w:szCs w:val="22"/>
              </w:rPr>
              <w:t>LAB_PTCQI</w:t>
            </w:r>
          </w:p>
          <w:p w14:paraId="41E2A502" w14:textId="158CBF58" w:rsidR="00A070E0" w:rsidRPr="0040797C" w:rsidRDefault="00A070E0" w:rsidP="00A070E0">
            <w:pPr>
              <w:rPr>
                <w:rFonts w:ascii="Arial" w:eastAsia="Calibri" w:hAnsi="Arial" w:cs="Arial"/>
                <w:sz w:val="20"/>
                <w:szCs w:val="20"/>
              </w:rPr>
            </w:pPr>
          </w:p>
        </w:tc>
      </w:tr>
      <w:tr w:rsidR="00A070E0" w:rsidRPr="0040797C" w14:paraId="4129B6B9" w14:textId="2EE10B47" w:rsidTr="09009BBF">
        <w:trPr>
          <w:trHeight w:val="566"/>
        </w:trPr>
        <w:tc>
          <w:tcPr>
            <w:tcW w:w="220" w:type="pct"/>
            <w:vMerge/>
          </w:tcPr>
          <w:p w14:paraId="7839178B" w14:textId="77777777" w:rsidR="00A070E0" w:rsidRPr="0040797C" w:rsidRDefault="00A070E0" w:rsidP="00A070E0">
            <w:pPr>
              <w:rPr>
                <w:rFonts w:ascii="Arial" w:eastAsia="Calibri" w:hAnsi="Arial" w:cs="Arial"/>
                <w:b/>
                <w:sz w:val="20"/>
                <w:szCs w:val="20"/>
                <w:u w:val="single"/>
              </w:rPr>
            </w:pPr>
          </w:p>
        </w:tc>
        <w:tc>
          <w:tcPr>
            <w:tcW w:w="2311" w:type="pct"/>
          </w:tcPr>
          <w:p w14:paraId="41492595" w14:textId="5F577D2A" w:rsidR="00A070E0" w:rsidRPr="006411C4" w:rsidRDefault="006411C4" w:rsidP="006411C4">
            <w:pPr>
              <w:pStyle w:val="ListParagraph"/>
              <w:numPr>
                <w:ilvl w:val="0"/>
                <w:numId w:val="1"/>
              </w:numPr>
              <w:tabs>
                <w:tab w:val="left" w:pos="616"/>
              </w:tabs>
              <w:ind w:left="331"/>
              <w:rPr>
                <w:rFonts w:ascii="Arial" w:eastAsia="Calibri" w:hAnsi="Arial" w:cs="Arial"/>
                <w:sz w:val="20"/>
                <w:szCs w:val="20"/>
              </w:rPr>
            </w:pPr>
            <w:r w:rsidRPr="006411C4">
              <w:rPr>
                <w:rFonts w:ascii="Arial" w:eastAsia="Calibri" w:hAnsi="Arial" w:cs="Arial"/>
                <w:sz w:val="20"/>
                <w:szCs w:val="20"/>
              </w:rPr>
              <w:t>Evidence of treatment literacy and viral load literacy activities supported by Ministries of Health, National AIDS Councils and other partner country leadership offices with the general population and health care</w:t>
            </w:r>
            <w:r w:rsidRPr="006411C4">
              <w:rPr>
                <w:rFonts w:ascii="Arial" w:eastAsia="Arial" w:hAnsi="Arial" w:cs="Arial"/>
                <w:color w:val="000000" w:themeColor="text1"/>
                <w:sz w:val="20"/>
                <w:szCs w:val="20"/>
              </w:rPr>
              <w:t xml:space="preserve"> providers</w:t>
            </w:r>
            <w:r w:rsidRPr="44738A55">
              <w:rPr>
                <w:rFonts w:ascii="Arial" w:eastAsia="Arial" w:hAnsi="Arial" w:cs="Arial"/>
                <w:color w:val="000000" w:themeColor="text1"/>
              </w:rPr>
              <w:t>.</w:t>
            </w:r>
          </w:p>
        </w:tc>
        <w:tc>
          <w:tcPr>
            <w:tcW w:w="1203" w:type="pct"/>
          </w:tcPr>
          <w:p w14:paraId="2E33A929" w14:textId="3840E614" w:rsidR="00A070E0" w:rsidRPr="0040797C" w:rsidRDefault="006411C4" w:rsidP="00A070E0">
            <w:pPr>
              <w:rPr>
                <w:rFonts w:ascii="Arial" w:eastAsia="Calibri" w:hAnsi="Arial" w:cs="Arial"/>
                <w:sz w:val="20"/>
                <w:szCs w:val="20"/>
              </w:rPr>
            </w:pPr>
            <w:r w:rsidRPr="09009BBF">
              <w:rPr>
                <w:rFonts w:ascii="Arial" w:eastAsia="Calibri" w:hAnsi="Arial" w:cs="Arial"/>
                <w:sz w:val="20"/>
                <w:szCs w:val="20"/>
              </w:rPr>
              <w:t>S_01_03, S_01_32</w:t>
            </w:r>
          </w:p>
        </w:tc>
        <w:tc>
          <w:tcPr>
            <w:tcW w:w="1266" w:type="pct"/>
          </w:tcPr>
          <w:p w14:paraId="0A7A7C90" w14:textId="27255C6D" w:rsidR="00A070E0" w:rsidRPr="0040797C" w:rsidRDefault="006411C4" w:rsidP="00A070E0">
            <w:pPr>
              <w:rPr>
                <w:rFonts w:ascii="Arial" w:eastAsia="Calibri" w:hAnsi="Arial" w:cs="Arial"/>
                <w:sz w:val="20"/>
                <w:szCs w:val="20"/>
              </w:rPr>
            </w:pPr>
            <w:r w:rsidRPr="44738A55">
              <w:rPr>
                <w:rFonts w:ascii="Arial" w:eastAsia="Arial" w:hAnsi="Arial" w:cs="Arial"/>
                <w:color w:val="000000" w:themeColor="text1"/>
                <w:sz w:val="22"/>
                <w:szCs w:val="22"/>
              </w:rPr>
              <w:t>TX_PVLS</w:t>
            </w:r>
          </w:p>
        </w:tc>
      </w:tr>
      <w:tr w:rsidR="006411C4" w:rsidRPr="0040797C" w14:paraId="5144A1A0" w14:textId="77777777" w:rsidTr="09009BBF">
        <w:trPr>
          <w:trHeight w:val="566"/>
        </w:trPr>
        <w:tc>
          <w:tcPr>
            <w:tcW w:w="220" w:type="pct"/>
            <w:vMerge/>
          </w:tcPr>
          <w:p w14:paraId="4C5B90F4" w14:textId="77777777" w:rsidR="006411C4" w:rsidRPr="0040797C" w:rsidRDefault="006411C4" w:rsidP="00A070E0">
            <w:pPr>
              <w:rPr>
                <w:rFonts w:ascii="Arial" w:eastAsia="Calibri" w:hAnsi="Arial" w:cs="Arial"/>
                <w:b/>
                <w:sz w:val="20"/>
                <w:szCs w:val="20"/>
                <w:u w:val="single"/>
              </w:rPr>
            </w:pPr>
          </w:p>
        </w:tc>
        <w:tc>
          <w:tcPr>
            <w:tcW w:w="2311" w:type="pct"/>
          </w:tcPr>
          <w:p w14:paraId="6FD4C3FE" w14:textId="0B199443" w:rsidR="006411C4" w:rsidRPr="5B8B1A33" w:rsidRDefault="006411C4" w:rsidP="006411C4">
            <w:pPr>
              <w:numPr>
                <w:ilvl w:val="0"/>
                <w:numId w:val="1"/>
              </w:numPr>
              <w:ind w:left="331"/>
              <w:rPr>
                <w:rFonts w:ascii="Arial" w:eastAsia="Calibri" w:hAnsi="Arial" w:cs="Arial"/>
                <w:sz w:val="20"/>
                <w:szCs w:val="20"/>
              </w:rPr>
            </w:pPr>
            <w:r w:rsidRPr="006411C4">
              <w:rPr>
                <w:rFonts w:ascii="Arial" w:eastAsia="Calibri" w:hAnsi="Arial" w:cs="Arial"/>
                <w:sz w:val="20"/>
                <w:szCs w:val="20"/>
              </w:rPr>
              <w:t>Clear evidence of agency progress toward local partner direct funding, including increased funding to key populations-led and women-led organizations in support of Global AIDS Strategy targets related to community-, KP- and women-led responses</w:t>
            </w:r>
          </w:p>
        </w:tc>
        <w:tc>
          <w:tcPr>
            <w:tcW w:w="1203" w:type="pct"/>
          </w:tcPr>
          <w:p w14:paraId="506FE1EE" w14:textId="01CD3AE1" w:rsidR="006411C4" w:rsidRPr="0040797C" w:rsidRDefault="006411C4" w:rsidP="00A070E0">
            <w:pPr>
              <w:rPr>
                <w:rFonts w:ascii="Arial" w:eastAsia="Calibri" w:hAnsi="Arial" w:cs="Arial"/>
                <w:sz w:val="20"/>
                <w:szCs w:val="20"/>
              </w:rPr>
            </w:pPr>
            <w:r w:rsidRPr="006411C4">
              <w:rPr>
                <w:rFonts w:ascii="Arial" w:eastAsia="Calibri" w:hAnsi="Arial" w:cs="Arial"/>
                <w:sz w:val="20"/>
                <w:szCs w:val="20"/>
              </w:rPr>
              <w:t>Not applicable - monitored at OU level</w:t>
            </w:r>
          </w:p>
        </w:tc>
        <w:tc>
          <w:tcPr>
            <w:tcW w:w="1266" w:type="pct"/>
          </w:tcPr>
          <w:p w14:paraId="6F3B4EA2" w14:textId="17E75920" w:rsidR="006411C4" w:rsidRPr="0040797C" w:rsidRDefault="006411C4" w:rsidP="00A070E0">
            <w:pPr>
              <w:rPr>
                <w:rFonts w:ascii="Arial" w:eastAsia="Calibri" w:hAnsi="Arial" w:cs="Arial"/>
                <w:iCs/>
                <w:sz w:val="20"/>
                <w:szCs w:val="20"/>
              </w:rPr>
            </w:pPr>
            <w:r>
              <w:rPr>
                <w:rFonts w:ascii="Arial" w:eastAsia="Calibri" w:hAnsi="Arial" w:cs="Arial"/>
                <w:iCs/>
                <w:sz w:val="20"/>
                <w:szCs w:val="20"/>
              </w:rPr>
              <w:t>NA</w:t>
            </w:r>
          </w:p>
        </w:tc>
      </w:tr>
      <w:tr w:rsidR="00A070E0" w:rsidRPr="0040797C" w14:paraId="14D5072F" w14:textId="180944A8" w:rsidTr="09009BBF">
        <w:trPr>
          <w:trHeight w:val="566"/>
        </w:trPr>
        <w:tc>
          <w:tcPr>
            <w:tcW w:w="220" w:type="pct"/>
            <w:vMerge/>
          </w:tcPr>
          <w:p w14:paraId="7853B204" w14:textId="77777777" w:rsidR="00A070E0" w:rsidRPr="0040797C" w:rsidRDefault="00A070E0" w:rsidP="00A070E0">
            <w:pPr>
              <w:rPr>
                <w:rFonts w:ascii="Arial" w:eastAsia="Calibri" w:hAnsi="Arial" w:cs="Arial"/>
                <w:b/>
                <w:sz w:val="20"/>
                <w:szCs w:val="20"/>
                <w:u w:val="single"/>
              </w:rPr>
            </w:pPr>
          </w:p>
        </w:tc>
        <w:tc>
          <w:tcPr>
            <w:tcW w:w="2311" w:type="pct"/>
          </w:tcPr>
          <w:p w14:paraId="3DE1495A" w14:textId="56923135" w:rsidR="00A070E0" w:rsidRPr="006411C4" w:rsidRDefault="006411C4" w:rsidP="006411C4">
            <w:pPr>
              <w:numPr>
                <w:ilvl w:val="0"/>
                <w:numId w:val="1"/>
              </w:numPr>
              <w:ind w:left="331"/>
              <w:rPr>
                <w:rFonts w:ascii="Arial" w:eastAsia="Calibri" w:hAnsi="Arial" w:cs="Arial"/>
                <w:sz w:val="20"/>
                <w:szCs w:val="20"/>
              </w:rPr>
            </w:pPr>
            <w:r w:rsidRPr="006411C4">
              <w:rPr>
                <w:rFonts w:ascii="Arial" w:eastAsia="Calibri" w:hAnsi="Arial" w:cs="Arial"/>
                <w:sz w:val="20"/>
                <w:szCs w:val="20"/>
              </w:rPr>
              <w:t>Evidence of partner government assuming greater responsibility of the HIV response including demonstrable evidence of year after year increased resources expended.</w:t>
            </w:r>
          </w:p>
        </w:tc>
        <w:tc>
          <w:tcPr>
            <w:tcW w:w="1203" w:type="pct"/>
          </w:tcPr>
          <w:p w14:paraId="06C7CBF4" w14:textId="6AAB3BA9" w:rsidR="00A070E0" w:rsidRPr="0040797C" w:rsidRDefault="006411C4" w:rsidP="00A070E0">
            <w:pPr>
              <w:rPr>
                <w:rFonts w:ascii="Arial" w:eastAsia="Calibri" w:hAnsi="Arial" w:cs="Arial"/>
                <w:sz w:val="20"/>
                <w:szCs w:val="20"/>
              </w:rPr>
            </w:pPr>
            <w:r w:rsidRPr="006411C4">
              <w:rPr>
                <w:rFonts w:ascii="Arial" w:eastAsia="Calibri" w:hAnsi="Arial" w:cs="Arial"/>
                <w:sz w:val="20"/>
                <w:szCs w:val="20"/>
              </w:rPr>
              <w:t>Not applicable - monitored at OU level</w:t>
            </w:r>
          </w:p>
        </w:tc>
        <w:tc>
          <w:tcPr>
            <w:tcW w:w="1266" w:type="pct"/>
          </w:tcPr>
          <w:p w14:paraId="369B982E" w14:textId="641032B2" w:rsidR="00A070E0" w:rsidRPr="0040797C" w:rsidRDefault="006411C4" w:rsidP="00A070E0">
            <w:pPr>
              <w:rPr>
                <w:rFonts w:ascii="Arial" w:eastAsia="Calibri" w:hAnsi="Arial" w:cs="Arial"/>
                <w:iCs/>
                <w:sz w:val="20"/>
                <w:szCs w:val="20"/>
              </w:rPr>
            </w:pPr>
            <w:r w:rsidRPr="006411C4">
              <w:rPr>
                <w:rFonts w:ascii="Arial" w:eastAsia="Calibri" w:hAnsi="Arial" w:cs="Arial"/>
                <w:iCs/>
                <w:sz w:val="20"/>
                <w:szCs w:val="20"/>
              </w:rPr>
              <w:t>Partner country indicators</w:t>
            </w:r>
          </w:p>
        </w:tc>
      </w:tr>
      <w:tr w:rsidR="00A070E0" w:rsidRPr="0040797C" w14:paraId="4DD7F6A3" w14:textId="0A29EA91" w:rsidTr="09009BBF">
        <w:trPr>
          <w:trHeight w:val="314"/>
        </w:trPr>
        <w:tc>
          <w:tcPr>
            <w:tcW w:w="220" w:type="pct"/>
            <w:vMerge/>
          </w:tcPr>
          <w:p w14:paraId="4B81631A" w14:textId="77777777" w:rsidR="00A070E0" w:rsidRPr="0040797C" w:rsidRDefault="00A070E0" w:rsidP="00A070E0">
            <w:pPr>
              <w:rPr>
                <w:rFonts w:ascii="Arial" w:eastAsia="Calibri" w:hAnsi="Arial" w:cs="Arial"/>
                <w:b/>
                <w:sz w:val="20"/>
                <w:szCs w:val="20"/>
                <w:u w:val="single"/>
              </w:rPr>
            </w:pPr>
          </w:p>
        </w:tc>
        <w:tc>
          <w:tcPr>
            <w:tcW w:w="2311" w:type="pct"/>
          </w:tcPr>
          <w:p w14:paraId="3DC3ABCB" w14:textId="77777777" w:rsidR="00A070E0" w:rsidRPr="0040797C" w:rsidRDefault="00A070E0" w:rsidP="006411C4">
            <w:pPr>
              <w:numPr>
                <w:ilvl w:val="0"/>
                <w:numId w:val="1"/>
              </w:numPr>
              <w:ind w:left="331"/>
              <w:rPr>
                <w:rFonts w:ascii="Arial" w:eastAsia="Calibri" w:hAnsi="Arial" w:cs="Arial"/>
                <w:sz w:val="20"/>
                <w:szCs w:val="20"/>
              </w:rPr>
            </w:pPr>
            <w:r w:rsidRPr="5B8B1A33">
              <w:rPr>
                <w:rFonts w:ascii="Arial" w:eastAsia="Calibri" w:hAnsi="Arial" w:cs="Arial"/>
                <w:sz w:val="20"/>
                <w:szCs w:val="20"/>
              </w:rPr>
              <w:t>Monitoring and reporting of morbidity and mortality outcomes including infectious and non-infectious morbidity.</w:t>
            </w:r>
          </w:p>
        </w:tc>
        <w:tc>
          <w:tcPr>
            <w:tcW w:w="1203" w:type="pct"/>
          </w:tcPr>
          <w:p w14:paraId="16A2724D" w14:textId="18C047AC" w:rsidR="00A070E0" w:rsidRPr="0040797C" w:rsidRDefault="006411C4" w:rsidP="00A070E0">
            <w:pPr>
              <w:rPr>
                <w:rFonts w:ascii="Arial" w:eastAsia="Calibri" w:hAnsi="Arial" w:cs="Arial"/>
                <w:sz w:val="20"/>
                <w:szCs w:val="20"/>
              </w:rPr>
            </w:pPr>
            <w:r w:rsidRPr="006411C4">
              <w:rPr>
                <w:rFonts w:ascii="Arial" w:eastAsia="Calibri" w:hAnsi="Arial" w:cs="Arial"/>
                <w:sz w:val="20"/>
                <w:szCs w:val="20"/>
              </w:rPr>
              <w:t>Not applicable - monitored at OU level</w:t>
            </w:r>
          </w:p>
        </w:tc>
        <w:tc>
          <w:tcPr>
            <w:tcW w:w="1266" w:type="pct"/>
          </w:tcPr>
          <w:p w14:paraId="05186597" w14:textId="0B130389"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TX_ML</w:t>
            </w:r>
          </w:p>
        </w:tc>
      </w:tr>
      <w:tr w:rsidR="00A070E0" w:rsidRPr="0040797C" w14:paraId="280E286C" w14:textId="13FE0C14" w:rsidTr="09009BBF">
        <w:trPr>
          <w:cantSplit/>
          <w:trHeight w:val="215"/>
        </w:trPr>
        <w:tc>
          <w:tcPr>
            <w:tcW w:w="220" w:type="pct"/>
            <w:vMerge/>
          </w:tcPr>
          <w:p w14:paraId="711DB7A2" w14:textId="77777777" w:rsidR="00A070E0" w:rsidRPr="0040797C" w:rsidRDefault="00A070E0" w:rsidP="00A070E0">
            <w:pPr>
              <w:rPr>
                <w:rFonts w:ascii="Arial" w:eastAsia="Calibri" w:hAnsi="Arial" w:cs="Arial"/>
                <w:b/>
                <w:sz w:val="20"/>
                <w:szCs w:val="20"/>
                <w:u w:val="single"/>
              </w:rPr>
            </w:pPr>
          </w:p>
        </w:tc>
        <w:tc>
          <w:tcPr>
            <w:tcW w:w="2311" w:type="pct"/>
          </w:tcPr>
          <w:p w14:paraId="1C1ABBB0" w14:textId="77777777" w:rsidR="00A070E0" w:rsidRPr="0040797C" w:rsidRDefault="00A070E0" w:rsidP="006411C4">
            <w:pPr>
              <w:numPr>
                <w:ilvl w:val="0"/>
                <w:numId w:val="1"/>
              </w:numPr>
              <w:ind w:left="331"/>
              <w:rPr>
                <w:rFonts w:ascii="Arial" w:eastAsia="Calibri" w:hAnsi="Arial" w:cs="Arial"/>
                <w:sz w:val="20"/>
                <w:szCs w:val="20"/>
              </w:rPr>
            </w:pPr>
            <w:r w:rsidRPr="5B8B1A33">
              <w:rPr>
                <w:rFonts w:ascii="Arial" w:eastAsia="Calibri" w:hAnsi="Arial" w:cs="Arial"/>
                <w:sz w:val="20"/>
                <w:szCs w:val="20"/>
              </w:rPr>
              <w:t>Scale-up of case-based surveillance and unique identifiers for patients across all sites.</w:t>
            </w:r>
          </w:p>
        </w:tc>
        <w:tc>
          <w:tcPr>
            <w:tcW w:w="1203" w:type="pct"/>
          </w:tcPr>
          <w:p w14:paraId="489F0FE6" w14:textId="0F5E8E29" w:rsidR="00A070E0" w:rsidRPr="0040797C" w:rsidRDefault="006411C4" w:rsidP="00A070E0">
            <w:pPr>
              <w:rPr>
                <w:rFonts w:ascii="Arial" w:eastAsia="Calibri" w:hAnsi="Arial" w:cs="Arial"/>
                <w:sz w:val="20"/>
                <w:szCs w:val="20"/>
              </w:rPr>
            </w:pPr>
            <w:r w:rsidRPr="006411C4">
              <w:rPr>
                <w:rFonts w:ascii="Arial" w:eastAsia="Calibri" w:hAnsi="Arial" w:cs="Arial"/>
                <w:sz w:val="20"/>
                <w:szCs w:val="20"/>
              </w:rPr>
              <w:t>Not applicable - monitored at OU level</w:t>
            </w:r>
          </w:p>
        </w:tc>
        <w:tc>
          <w:tcPr>
            <w:tcW w:w="1266" w:type="pct"/>
          </w:tcPr>
          <w:p w14:paraId="6D045E30" w14:textId="77777777"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EMR_SITE</w:t>
            </w:r>
          </w:p>
          <w:p w14:paraId="142213EA" w14:textId="06F8582E" w:rsidR="00A070E0" w:rsidRPr="0040797C" w:rsidRDefault="00A070E0" w:rsidP="00A070E0">
            <w:pPr>
              <w:rPr>
                <w:rFonts w:ascii="Arial" w:eastAsia="Calibri" w:hAnsi="Arial" w:cs="Arial"/>
                <w:sz w:val="20"/>
                <w:szCs w:val="20"/>
              </w:rPr>
            </w:pPr>
            <w:r w:rsidRPr="0040797C">
              <w:rPr>
                <w:rFonts w:ascii="Arial" w:eastAsia="Calibri" w:hAnsi="Arial" w:cs="Arial"/>
                <w:sz w:val="20"/>
                <w:szCs w:val="20"/>
              </w:rPr>
              <w:t>HTS_RECENT</w:t>
            </w:r>
          </w:p>
        </w:tc>
      </w:tr>
    </w:tbl>
    <w:p w14:paraId="65A14DF0" w14:textId="77777777" w:rsidR="001952F4" w:rsidRDefault="001952F4"/>
    <w:sectPr w:rsidR="001952F4" w:rsidSect="0040797C">
      <w:pgSz w:w="12240" w:h="15840"/>
      <w:pgMar w:top="720" w:right="720" w:bottom="720" w:left="72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C3CD7" w14:textId="77777777" w:rsidR="00FD1564" w:rsidRDefault="00FD1564" w:rsidP="004B4302">
      <w:r>
        <w:separator/>
      </w:r>
    </w:p>
  </w:endnote>
  <w:endnote w:type="continuationSeparator" w:id="0">
    <w:p w14:paraId="4520745F" w14:textId="77777777" w:rsidR="00FD1564" w:rsidRDefault="00FD1564" w:rsidP="004B4302">
      <w:r>
        <w:continuationSeparator/>
      </w:r>
    </w:p>
  </w:endnote>
  <w:endnote w:type="continuationNotice" w:id="1">
    <w:p w14:paraId="3E776158" w14:textId="77777777" w:rsidR="00FD1564" w:rsidRDefault="00FD15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4D6E7" w14:textId="77777777" w:rsidR="00FD1564" w:rsidRDefault="00FD1564" w:rsidP="004B4302">
      <w:r>
        <w:separator/>
      </w:r>
    </w:p>
  </w:footnote>
  <w:footnote w:type="continuationSeparator" w:id="0">
    <w:p w14:paraId="1ED18DDF" w14:textId="77777777" w:rsidR="00FD1564" w:rsidRDefault="00FD1564" w:rsidP="004B4302">
      <w:r>
        <w:continuationSeparator/>
      </w:r>
    </w:p>
  </w:footnote>
  <w:footnote w:type="continuationNotice" w:id="1">
    <w:p w14:paraId="71B53CE2" w14:textId="77777777" w:rsidR="00FD1564" w:rsidRDefault="00FD1564"/>
  </w:footnote>
  <w:footnote w:id="2">
    <w:p w14:paraId="42317C2B" w14:textId="77777777" w:rsidR="005F2318" w:rsidRPr="00DC1C03" w:rsidRDefault="005F2318" w:rsidP="004B4302">
      <w:pPr>
        <w:pStyle w:val="FootnoteText"/>
        <w:rPr>
          <w:rFonts w:ascii="Arial" w:hAnsi="Arial" w:cs="Arial"/>
          <w:sz w:val="18"/>
          <w:szCs w:val="18"/>
        </w:rPr>
      </w:pPr>
      <w:r w:rsidRPr="00253247">
        <w:rPr>
          <w:rStyle w:val="FootnoteReference"/>
          <w:sz w:val="18"/>
          <w:szCs w:val="18"/>
        </w:rPr>
        <w:footnoteRef/>
      </w:r>
      <w:r w:rsidRPr="00253247">
        <w:rPr>
          <w:sz w:val="18"/>
          <w:szCs w:val="18"/>
        </w:rPr>
        <w:t xml:space="preserve"> </w:t>
      </w:r>
      <w:r w:rsidRPr="00DC1C03">
        <w:rPr>
          <w:rFonts w:ascii="Arial" w:hAnsi="Arial" w:cs="Arial"/>
          <w:sz w:val="18"/>
          <w:szCs w:val="18"/>
        </w:rPr>
        <w:t>Guideline on when to start antiretroviral therapy and on pre-exposure prophylaxis for HIV. Geneva: World Health Organization, September 2015</w:t>
      </w:r>
    </w:p>
  </w:footnote>
  <w:footnote w:id="3">
    <w:p w14:paraId="6ECD207A" w14:textId="77777777" w:rsidR="005F2318" w:rsidRPr="00253247" w:rsidRDefault="005F2318" w:rsidP="004B4302">
      <w:pPr>
        <w:pStyle w:val="FootnoteText"/>
        <w:rPr>
          <w:sz w:val="18"/>
          <w:szCs w:val="18"/>
        </w:rPr>
      </w:pPr>
      <w:r w:rsidRPr="00253247">
        <w:rPr>
          <w:rStyle w:val="FootnoteReference"/>
          <w:sz w:val="18"/>
          <w:szCs w:val="18"/>
        </w:rPr>
        <w:footnoteRef/>
      </w:r>
      <w:r w:rsidRPr="00253247">
        <w:rPr>
          <w:sz w:val="18"/>
          <w:szCs w:val="18"/>
        </w:rPr>
        <w:t xml:space="preserve"> </w:t>
      </w:r>
      <w:r w:rsidRPr="00253247">
        <w:rPr>
          <w:rFonts w:ascii="Arial" w:hAnsi="Arial" w:cs="Arial"/>
          <w:sz w:val="18"/>
          <w:szCs w:val="18"/>
        </w:rPr>
        <w:t>Guideline on when to start antiretroviral therapy and on pre-exposure prophylaxis for HIV. Geneva: World Health Organization; 2015 (</w:t>
      </w:r>
      <w:hyperlink r:id="rId1" w:history="1">
        <w:r w:rsidRPr="00253247">
          <w:rPr>
            <w:rFonts w:ascii="Arial" w:hAnsi="Arial" w:cs="Arial"/>
            <w:color w:val="0070C0"/>
            <w:sz w:val="18"/>
            <w:szCs w:val="18"/>
            <w:u w:val="single"/>
          </w:rPr>
          <w:t>http://www.who.int/hiv/pub/guidelines/earlyrelease-arv/en)</w:t>
        </w:r>
      </w:hyperlink>
      <w:r w:rsidRPr="00253247">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077FAB"/>
    <w:multiLevelType w:val="hybridMultilevel"/>
    <w:tmpl w:val="5BA06C76"/>
    <w:lvl w:ilvl="0" w:tplc="54965640">
      <w:start w:val="1"/>
      <w:numFmt w:val="decimal"/>
      <w:lvlText w:val="%1."/>
      <w:lvlJc w:val="left"/>
      <w:pPr>
        <w:ind w:left="720" w:hanging="360"/>
      </w:pPr>
      <w:rPr>
        <w:rFonts w:ascii="Arial" w:hAnsi="Arial" w:cs="Arial"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E86492"/>
    <w:multiLevelType w:val="hybridMultilevel"/>
    <w:tmpl w:val="DEB0B186"/>
    <w:lvl w:ilvl="0" w:tplc="54965640">
      <w:start w:val="1"/>
      <w:numFmt w:val="decimal"/>
      <w:lvlText w:val="%1."/>
      <w:lvlJc w:val="left"/>
      <w:pPr>
        <w:ind w:left="720" w:hanging="360"/>
      </w:pPr>
      <w:rPr>
        <w:rFonts w:ascii="Arial" w:hAnsi="Arial" w:cs="Arial"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327884"/>
    <w:multiLevelType w:val="hybridMultilevel"/>
    <w:tmpl w:val="5BA06C76"/>
    <w:lvl w:ilvl="0" w:tplc="54965640">
      <w:start w:val="1"/>
      <w:numFmt w:val="decimal"/>
      <w:lvlText w:val="%1."/>
      <w:lvlJc w:val="left"/>
      <w:pPr>
        <w:ind w:left="720" w:hanging="360"/>
      </w:pPr>
      <w:rPr>
        <w:rFonts w:ascii="Arial" w:hAnsi="Arial" w:cs="Arial"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0MDM2tDA1NTIxNzNX0lEKTi0uzszPAykwrAUAQw6OTSwAAAA="/>
  </w:docVars>
  <w:rsids>
    <w:rsidRoot w:val="004B4302"/>
    <w:rsid w:val="00023F34"/>
    <w:rsid w:val="000915E2"/>
    <w:rsid w:val="000A1072"/>
    <w:rsid w:val="000A7E69"/>
    <w:rsid w:val="000C14A1"/>
    <w:rsid w:val="000C659E"/>
    <w:rsid w:val="000E6821"/>
    <w:rsid w:val="00122EFA"/>
    <w:rsid w:val="00137C2A"/>
    <w:rsid w:val="00143B28"/>
    <w:rsid w:val="001701A2"/>
    <w:rsid w:val="00185BF4"/>
    <w:rsid w:val="001952F4"/>
    <w:rsid w:val="001A4938"/>
    <w:rsid w:val="001C3D81"/>
    <w:rsid w:val="001D65C8"/>
    <w:rsid w:val="001E0F40"/>
    <w:rsid w:val="001F08B1"/>
    <w:rsid w:val="001F4513"/>
    <w:rsid w:val="00213628"/>
    <w:rsid w:val="0023255E"/>
    <w:rsid w:val="0024070C"/>
    <w:rsid w:val="00271CCA"/>
    <w:rsid w:val="00275DFC"/>
    <w:rsid w:val="002862D6"/>
    <w:rsid w:val="002872B8"/>
    <w:rsid w:val="00311F75"/>
    <w:rsid w:val="00324B83"/>
    <w:rsid w:val="00333FA2"/>
    <w:rsid w:val="003454CD"/>
    <w:rsid w:val="003664DE"/>
    <w:rsid w:val="00392356"/>
    <w:rsid w:val="00394B1C"/>
    <w:rsid w:val="003B1993"/>
    <w:rsid w:val="00406936"/>
    <w:rsid w:val="0040797C"/>
    <w:rsid w:val="00424A59"/>
    <w:rsid w:val="00457A8A"/>
    <w:rsid w:val="00467494"/>
    <w:rsid w:val="004960FA"/>
    <w:rsid w:val="004B4302"/>
    <w:rsid w:val="0054165D"/>
    <w:rsid w:val="00552021"/>
    <w:rsid w:val="005C1A17"/>
    <w:rsid w:val="005C6BED"/>
    <w:rsid w:val="005F1DA1"/>
    <w:rsid w:val="005F2318"/>
    <w:rsid w:val="005F44F8"/>
    <w:rsid w:val="00616D6E"/>
    <w:rsid w:val="00624CBA"/>
    <w:rsid w:val="006411C4"/>
    <w:rsid w:val="00662B9F"/>
    <w:rsid w:val="006C33D5"/>
    <w:rsid w:val="006D79D9"/>
    <w:rsid w:val="006D7D6F"/>
    <w:rsid w:val="006F6126"/>
    <w:rsid w:val="006F7F38"/>
    <w:rsid w:val="00775AFB"/>
    <w:rsid w:val="007935F1"/>
    <w:rsid w:val="00847C5C"/>
    <w:rsid w:val="008A3939"/>
    <w:rsid w:val="008E364C"/>
    <w:rsid w:val="0090416E"/>
    <w:rsid w:val="009075FB"/>
    <w:rsid w:val="00967241"/>
    <w:rsid w:val="00983E75"/>
    <w:rsid w:val="00985730"/>
    <w:rsid w:val="009D75BC"/>
    <w:rsid w:val="009E2FA3"/>
    <w:rsid w:val="00A070E0"/>
    <w:rsid w:val="00A4100D"/>
    <w:rsid w:val="00A47D11"/>
    <w:rsid w:val="00A50365"/>
    <w:rsid w:val="00A60BC7"/>
    <w:rsid w:val="00A9439A"/>
    <w:rsid w:val="00AB4354"/>
    <w:rsid w:val="00AC1D24"/>
    <w:rsid w:val="00AE0083"/>
    <w:rsid w:val="00AE6F67"/>
    <w:rsid w:val="00AF00C7"/>
    <w:rsid w:val="00B1259C"/>
    <w:rsid w:val="00B34E2F"/>
    <w:rsid w:val="00B36189"/>
    <w:rsid w:val="00B5723A"/>
    <w:rsid w:val="00B60279"/>
    <w:rsid w:val="00B73F49"/>
    <w:rsid w:val="00B920B8"/>
    <w:rsid w:val="00BC5382"/>
    <w:rsid w:val="00BD2D19"/>
    <w:rsid w:val="00BD6588"/>
    <w:rsid w:val="00BE02A9"/>
    <w:rsid w:val="00CB35A5"/>
    <w:rsid w:val="00CB3876"/>
    <w:rsid w:val="00CE5498"/>
    <w:rsid w:val="00CF1FAE"/>
    <w:rsid w:val="00D010B0"/>
    <w:rsid w:val="00D04987"/>
    <w:rsid w:val="00D22E47"/>
    <w:rsid w:val="00D63D3A"/>
    <w:rsid w:val="00DC1C03"/>
    <w:rsid w:val="00DC413A"/>
    <w:rsid w:val="00DC4DF9"/>
    <w:rsid w:val="00DF7BDA"/>
    <w:rsid w:val="00E13ED4"/>
    <w:rsid w:val="00E32A04"/>
    <w:rsid w:val="00E3583E"/>
    <w:rsid w:val="00EF7A7B"/>
    <w:rsid w:val="00F02397"/>
    <w:rsid w:val="00F14799"/>
    <w:rsid w:val="00F155D2"/>
    <w:rsid w:val="00F33AC3"/>
    <w:rsid w:val="00FD1564"/>
    <w:rsid w:val="00FF4269"/>
    <w:rsid w:val="046133CA"/>
    <w:rsid w:val="0515C14A"/>
    <w:rsid w:val="086D4FCF"/>
    <w:rsid w:val="09009BBF"/>
    <w:rsid w:val="09D23BF6"/>
    <w:rsid w:val="14A91A73"/>
    <w:rsid w:val="29EFD242"/>
    <w:rsid w:val="2FD23684"/>
    <w:rsid w:val="3465E735"/>
    <w:rsid w:val="35AEBF97"/>
    <w:rsid w:val="3DB296C6"/>
    <w:rsid w:val="479AE4D8"/>
    <w:rsid w:val="47D522B4"/>
    <w:rsid w:val="491A71DD"/>
    <w:rsid w:val="4E934115"/>
    <w:rsid w:val="4F5BC7D6"/>
    <w:rsid w:val="5264A9C6"/>
    <w:rsid w:val="53ABF290"/>
    <w:rsid w:val="5B8B1A33"/>
    <w:rsid w:val="5EC9DE32"/>
    <w:rsid w:val="5F26CE8E"/>
    <w:rsid w:val="66AFD148"/>
    <w:rsid w:val="6920BB6C"/>
    <w:rsid w:val="6E37F48E"/>
    <w:rsid w:val="7D3F25B9"/>
    <w:rsid w:val="7D6812DE"/>
    <w:rsid w:val="7EE34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7010A0"/>
  <w15:chartTrackingRefBased/>
  <w15:docId w15:val="{25107A4B-B9FA-4F76-89E3-5FC7C28C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302"/>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302"/>
    <w:pPr>
      <w:spacing w:after="200" w:line="276" w:lineRule="auto"/>
      <w:ind w:left="720"/>
      <w:contextualSpacing/>
    </w:pPr>
    <w:rPr>
      <w:rFonts w:ascii="Calibri" w:hAnsi="Calibri"/>
      <w:sz w:val="22"/>
      <w:szCs w:val="22"/>
    </w:rPr>
  </w:style>
  <w:style w:type="table" w:styleId="TableGrid">
    <w:name w:val="Table Grid"/>
    <w:basedOn w:val="TableNormal"/>
    <w:uiPriority w:val="39"/>
    <w:rsid w:val="004B430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B4302"/>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4B4302"/>
    <w:rPr>
      <w:sz w:val="20"/>
      <w:szCs w:val="20"/>
    </w:rPr>
  </w:style>
  <w:style w:type="character" w:styleId="FootnoteReference">
    <w:name w:val="footnote reference"/>
    <w:basedOn w:val="DefaultParagraphFont"/>
    <w:uiPriority w:val="99"/>
    <w:semiHidden/>
    <w:unhideWhenUsed/>
    <w:rsid w:val="004B4302"/>
    <w:rPr>
      <w:vertAlign w:val="superscript"/>
    </w:rPr>
  </w:style>
  <w:style w:type="character" w:styleId="CommentReference">
    <w:name w:val="annotation reference"/>
    <w:basedOn w:val="DefaultParagraphFont"/>
    <w:uiPriority w:val="99"/>
    <w:semiHidden/>
    <w:unhideWhenUsed/>
    <w:rsid w:val="001E0F40"/>
    <w:rPr>
      <w:sz w:val="16"/>
      <w:szCs w:val="16"/>
    </w:rPr>
  </w:style>
  <w:style w:type="paragraph" w:styleId="CommentText">
    <w:name w:val="annotation text"/>
    <w:basedOn w:val="Normal"/>
    <w:link w:val="CommentTextChar"/>
    <w:uiPriority w:val="99"/>
    <w:semiHidden/>
    <w:unhideWhenUsed/>
    <w:rsid w:val="001E0F40"/>
    <w:rPr>
      <w:sz w:val="20"/>
      <w:szCs w:val="20"/>
    </w:rPr>
  </w:style>
  <w:style w:type="character" w:customStyle="1" w:styleId="CommentTextChar">
    <w:name w:val="Comment Text Char"/>
    <w:basedOn w:val="DefaultParagraphFont"/>
    <w:link w:val="CommentText"/>
    <w:uiPriority w:val="99"/>
    <w:semiHidden/>
    <w:rsid w:val="001E0F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E0F40"/>
    <w:rPr>
      <w:b/>
      <w:bCs/>
    </w:rPr>
  </w:style>
  <w:style w:type="character" w:customStyle="1" w:styleId="CommentSubjectChar">
    <w:name w:val="Comment Subject Char"/>
    <w:basedOn w:val="CommentTextChar"/>
    <w:link w:val="CommentSubject"/>
    <w:uiPriority w:val="99"/>
    <w:semiHidden/>
    <w:rsid w:val="001E0F4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24B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B83"/>
    <w:rPr>
      <w:rFonts w:ascii="Segoe UI" w:eastAsia="Times New Roman" w:hAnsi="Segoe UI" w:cs="Segoe UI"/>
      <w:sz w:val="18"/>
      <w:szCs w:val="18"/>
    </w:rPr>
  </w:style>
  <w:style w:type="paragraph" w:styleId="Header">
    <w:name w:val="header"/>
    <w:basedOn w:val="Normal"/>
    <w:link w:val="HeaderChar"/>
    <w:uiPriority w:val="99"/>
    <w:semiHidden/>
    <w:unhideWhenUsed/>
    <w:rsid w:val="00F33AC3"/>
    <w:pPr>
      <w:tabs>
        <w:tab w:val="center" w:pos="4680"/>
        <w:tab w:val="right" w:pos="9360"/>
      </w:tabs>
    </w:pPr>
  </w:style>
  <w:style w:type="character" w:customStyle="1" w:styleId="HeaderChar">
    <w:name w:val="Header Char"/>
    <w:basedOn w:val="DefaultParagraphFont"/>
    <w:link w:val="Header"/>
    <w:uiPriority w:val="99"/>
    <w:semiHidden/>
    <w:rsid w:val="00F33AC3"/>
    <w:rPr>
      <w:rFonts w:ascii="Times New Roman" w:eastAsia="Times New Roman" w:hAnsi="Times New Roman" w:cs="Times New Roman"/>
      <w:sz w:val="28"/>
      <w:szCs w:val="24"/>
    </w:rPr>
  </w:style>
  <w:style w:type="paragraph" w:styleId="Footer">
    <w:name w:val="footer"/>
    <w:basedOn w:val="Normal"/>
    <w:link w:val="FooterChar"/>
    <w:uiPriority w:val="99"/>
    <w:semiHidden/>
    <w:unhideWhenUsed/>
    <w:rsid w:val="00F33AC3"/>
    <w:pPr>
      <w:tabs>
        <w:tab w:val="center" w:pos="4680"/>
        <w:tab w:val="right" w:pos="9360"/>
      </w:tabs>
    </w:pPr>
  </w:style>
  <w:style w:type="character" w:customStyle="1" w:styleId="FooterChar">
    <w:name w:val="Footer Char"/>
    <w:basedOn w:val="DefaultParagraphFont"/>
    <w:link w:val="Footer"/>
    <w:uiPriority w:val="99"/>
    <w:semiHidden/>
    <w:rsid w:val="00F33AC3"/>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who.int/hiv/pub/guidelines/earlyrelease-arv/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A953E6809E0542907AF64A954AB811" ma:contentTypeVersion="6" ma:contentTypeDescription="Create a new document." ma:contentTypeScope="" ma:versionID="43b6623c42d5a1872e6b1c10ed46618c">
  <xsd:schema xmlns:xsd="http://www.w3.org/2001/XMLSchema" xmlns:xs="http://www.w3.org/2001/XMLSchema" xmlns:p="http://schemas.microsoft.com/office/2006/metadata/properties" xmlns:ns2="7653fbb3-4802-4863-965a-fc6dc60f07cc" xmlns:ns3="b23480cc-f099-42bd-8255-d76ce37d071d" targetNamespace="http://schemas.microsoft.com/office/2006/metadata/properties" ma:root="true" ma:fieldsID="31d877a7ebab00fb0bba6bd5ae5e5b13" ns2:_="" ns3:_="">
    <xsd:import namespace="7653fbb3-4802-4863-965a-fc6dc60f07cc"/>
    <xsd:import namespace="b23480cc-f099-42bd-8255-d76ce37d07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53fbb3-4802-4863-965a-fc6dc60f0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3480cc-f099-42bd-8255-d76ce37d07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BC6CE-839E-432D-B6CB-004DF6909ED2}">
  <ds:schemaRefs>
    <ds:schemaRef ds:uri="http://schemas.openxmlformats.org/officeDocument/2006/bibliography"/>
  </ds:schemaRefs>
</ds:datastoreItem>
</file>

<file path=customXml/itemProps2.xml><?xml version="1.0" encoding="utf-8"?>
<ds:datastoreItem xmlns:ds="http://schemas.openxmlformats.org/officeDocument/2006/customXml" ds:itemID="{7BBBBFC6-28A2-4556-A1AA-D3F5880BB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53fbb3-4802-4863-965a-fc6dc60f07cc"/>
    <ds:schemaRef ds:uri="b23480cc-f099-42bd-8255-d76ce37d07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681D89-C762-4A87-9C89-0C0011D8DB01}">
  <ds:schemaRefs>
    <ds:schemaRef ds:uri="http://purl.org/dc/dcmitype/"/>
    <ds:schemaRef ds:uri="http://schemas.openxmlformats.org/package/2006/metadata/core-properties"/>
    <ds:schemaRef ds:uri="http://schemas.microsoft.com/office/2006/documentManagement/types"/>
    <ds:schemaRef ds:uri="http://purl.org/dc/elements/1.1/"/>
    <ds:schemaRef ds:uri="b23480cc-f099-42bd-8255-d76ce37d071d"/>
    <ds:schemaRef ds:uri="http://purl.org/dc/terms/"/>
    <ds:schemaRef ds:uri="http://schemas.microsoft.com/office/2006/metadata/properties"/>
    <ds:schemaRef ds:uri="http://schemas.microsoft.com/office/infopath/2007/PartnerControls"/>
    <ds:schemaRef ds:uri="7653fbb3-4802-4863-965a-fc6dc60f07cc"/>
    <ds:schemaRef ds:uri="http://www.w3.org/XML/1998/namespace"/>
  </ds:schemaRefs>
</ds:datastoreItem>
</file>

<file path=customXml/itemProps4.xml><?xml version="1.0" encoding="utf-8"?>
<ds:datastoreItem xmlns:ds="http://schemas.openxmlformats.org/officeDocument/2006/customXml" ds:itemID="{95A989D3-22F6-48A3-B0DA-1125263870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4960</Characters>
  <Application>Microsoft Office Word</Application>
  <DocSecurity>0</DocSecurity>
  <Lines>41</Lines>
  <Paragraphs>11</Paragraphs>
  <ScaleCrop>false</ScaleCrop>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Maryanne Ombija</dc:creator>
  <cp:keywords/>
  <dc:description/>
  <cp:lastModifiedBy>Marandet, Angele G. (CDC/DDPHSIS/CGH/DGHT)</cp:lastModifiedBy>
  <cp:revision>2</cp:revision>
  <cp:lastPrinted>2021-09-20T14:56:00Z</cp:lastPrinted>
  <dcterms:created xsi:type="dcterms:W3CDTF">2022-09-01T09:43:00Z</dcterms:created>
  <dcterms:modified xsi:type="dcterms:W3CDTF">2022-09-01T09:43:00Z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2021-09-17T15:12:42Z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e8be6bf1-0de1-41e6-81dc-a8dc01b2d432</vt:lpwstr>
  </property>
  <property fmtid="{D5CDD505-2E9C-101B-9397-08002B2CF9AE}" pid="8" name="MSIP_Label_7b94a7b8-f06c-4dfe-bdcc-9b548fd58c31_ContentBits">
    <vt:lpwstr>0</vt:lpwstr>
  </property>
  <property fmtid="{D5CDD505-2E9C-101B-9397-08002B2CF9AE}" pid="9" name="ContentTypeId">
    <vt:lpwstr>0x010100D6A953E6809E0542907AF64A954AB811</vt:lpwstr>
  </property>
</Properties>
</file>